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HỢP ĐỒNG GÓP VỐN ĐẦU TƯ</w:t>
      </w:r>
    </w:p>
    <w:p w:rsidR="00000000" w:rsidDel="00000000" w:rsidP="00000000" w:rsidRDefault="00000000" w:rsidRPr="00000000" w14:paraId="00000002">
      <w:pPr>
        <w:spacing w:after="80" w:before="80" w:line="264" w:lineRule="auto"/>
        <w:ind w:left="567" w:hanging="567"/>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3">
      <w:pPr>
        <w:spacing w:after="80" w:before="80" w:line="264"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Hợp Đồng Góp vốn đầu tư</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này (“Hợp đồng”) được lập và có hiệu lực từ ngày __ tháng __ năm 2019 bởi Các Bên:</w:t>
      </w:r>
    </w:p>
    <w:p w:rsidR="00000000" w:rsidDel="00000000" w:rsidP="00000000" w:rsidRDefault="00000000" w:rsidRPr="00000000" w14:paraId="00000004">
      <w:pPr>
        <w:tabs>
          <w:tab w:val="left" w:leader="none" w:pos="360"/>
          <w:tab w:val="left" w:leader="none" w:pos="450"/>
          <w:tab w:val="left" w:leader="none" w:pos="720"/>
        </w:tabs>
        <w:spacing w:after="80" w:before="80" w:line="264" w:lineRule="auto"/>
        <w:ind w:left="567" w:hanging="567"/>
        <w:jc w:val="both"/>
        <w:rPr>
          <w:rFonts w:ascii="Verdana" w:cs="Verdana" w:eastAsia="Verdana" w:hAnsi="Verdana"/>
          <w:b w:val="1"/>
          <w:color w:val="000000"/>
          <w:sz w:val="20"/>
          <w:szCs w:val="20"/>
        </w:rPr>
      </w:pPr>
      <w:r w:rsidDel="00000000" w:rsidR="00000000" w:rsidRPr="00000000">
        <w:rPr>
          <w:rFonts w:ascii="Verdana" w:cs="Verdana" w:eastAsia="Verdana" w:hAnsi="Verdana"/>
          <w:b w:val="1"/>
          <w:sz w:val="20"/>
          <w:szCs w:val="20"/>
          <w:rtl w:val="0"/>
        </w:rPr>
        <w:t xml:space="preserve">BÊN A</w:t>
        <w:tab/>
        <w:tab/>
        <w:t xml:space="preserve">: </w:t>
      </w:r>
      <w:sdt>
        <w:sdtPr>
          <w:tag w:val="goog_rdk_0"/>
        </w:sdtPr>
        <w:sdtContent>
          <w:r w:rsidDel="00000000" w:rsidR="00000000" w:rsidRPr="00000000">
            <w:rPr>
              <w:rFonts w:ascii="Arial" w:cs="Arial" w:eastAsia="Arial" w:hAnsi="Arial"/>
              <w:b w:val="1"/>
              <w:color w:val="000000"/>
              <w:sz w:val="20"/>
              <w:szCs w:val="20"/>
              <w:rtl w:val="0"/>
            </w:rPr>
            <w:t xml:space="preserve">CÔNG TY TNHH THƯƠNG MẠI SẢN XUẤT YUMI</w:t>
          </w:r>
        </w:sdtContent>
      </w:sdt>
    </w:p>
    <w:p w:rsidR="00000000" w:rsidDel="00000000" w:rsidP="00000000" w:rsidRDefault="00000000" w:rsidRPr="00000000" w14:paraId="00000005">
      <w:pPr>
        <w:tabs>
          <w:tab w:val="left" w:leader="none" w:pos="360"/>
          <w:tab w:val="left" w:leader="none" w:pos="450"/>
          <w:tab w:val="left" w:leader="none" w:pos="720"/>
        </w:tabs>
        <w:spacing w:after="80" w:before="80" w:line="264" w:lineRule="auto"/>
        <w:ind w:left="567" w:hanging="56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Mã số thuế</w:t>
        <w:tab/>
        <w:t xml:space="preserve">: </w:t>
      </w:r>
      <w:r w:rsidDel="00000000" w:rsidR="00000000" w:rsidRPr="00000000">
        <w:rPr>
          <w:rFonts w:ascii="Verdana" w:cs="Verdana" w:eastAsia="Verdana" w:hAnsi="Verdana"/>
          <w:color w:val="000000"/>
          <w:sz w:val="20"/>
          <w:szCs w:val="20"/>
          <w:rtl w:val="0"/>
        </w:rPr>
        <w:t xml:space="preserve">0314571903</w:t>
      </w:r>
      <w:r w:rsidDel="00000000" w:rsidR="00000000" w:rsidRPr="00000000">
        <w:rPr>
          <w:rtl w:val="0"/>
        </w:rPr>
      </w:r>
    </w:p>
    <w:p w:rsidR="00000000" w:rsidDel="00000000" w:rsidP="00000000" w:rsidRDefault="00000000" w:rsidRPr="00000000" w14:paraId="00000006">
      <w:pPr>
        <w:tabs>
          <w:tab w:val="left" w:leader="none" w:pos="360"/>
          <w:tab w:val="left" w:leader="none" w:pos="450"/>
          <w:tab w:val="left" w:leader="none" w:pos="1440"/>
        </w:tabs>
        <w:spacing w:after="80" w:before="80" w:line="264" w:lineRule="auto"/>
        <w:ind w:left="567" w:hanging="567"/>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Đại diện</w:t>
        <w:tab/>
        <w:t xml:space="preserve">: Bà Nguyễn Hồng Huệ</w:t>
      </w:r>
      <w:r w:rsidDel="00000000" w:rsidR="00000000" w:rsidRPr="00000000">
        <w:rPr>
          <w:rFonts w:ascii="Verdana" w:cs="Verdana" w:eastAsia="Verdana" w:hAnsi="Verdana"/>
          <w:b w:val="1"/>
          <w:sz w:val="20"/>
          <w:szCs w:val="20"/>
          <w:rtl w:val="0"/>
        </w:rPr>
        <w:tab/>
        <w:tab/>
      </w:r>
      <w:r w:rsidDel="00000000" w:rsidR="00000000" w:rsidRPr="00000000">
        <w:rPr>
          <w:rFonts w:ascii="Verdana" w:cs="Verdana" w:eastAsia="Verdana" w:hAnsi="Verdana"/>
          <w:sz w:val="20"/>
          <w:szCs w:val="20"/>
          <w:rtl w:val="0"/>
        </w:rPr>
        <w:t xml:space="preserve">Chức vụ</w:t>
        <w:tab/>
        <w:t xml:space="preserve">: Giám đốc</w:t>
      </w:r>
      <w:r w:rsidDel="00000000" w:rsidR="00000000" w:rsidRPr="00000000">
        <w:rPr>
          <w:rtl w:val="0"/>
        </w:rPr>
      </w:r>
    </w:p>
    <w:p w:rsidR="00000000" w:rsidDel="00000000" w:rsidP="00000000" w:rsidRDefault="00000000" w:rsidRPr="00000000" w14:paraId="00000007">
      <w:pPr>
        <w:tabs>
          <w:tab w:val="left" w:leader="none" w:pos="270"/>
          <w:tab w:val="left" w:leader="none" w:pos="360"/>
          <w:tab w:val="left" w:leader="none" w:pos="1440"/>
          <w:tab w:val="left" w:leader="none" w:pos="1530"/>
        </w:tabs>
        <w:spacing w:after="80" w:before="80" w:line="264" w:lineRule="auto"/>
        <w:ind w:left="567" w:hanging="567"/>
        <w:jc w:val="both"/>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Địa chỉ</w:t>
        <w:tab/>
        <w:t xml:space="preserve">: </w:t>
      </w:r>
      <w:sdt>
        <w:sdtPr>
          <w:tag w:val="goog_rdk_1"/>
        </w:sdtPr>
        <w:sdtContent>
          <w:r w:rsidDel="00000000" w:rsidR="00000000" w:rsidRPr="00000000">
            <w:rPr>
              <w:rFonts w:ascii="Arial" w:cs="Arial" w:eastAsia="Arial" w:hAnsi="Arial"/>
              <w:color w:val="000000"/>
              <w:sz w:val="20"/>
              <w:szCs w:val="20"/>
              <w:rtl w:val="0"/>
            </w:rPr>
            <w:t xml:space="preserve">33 Hoa Sứ, Phường 07, Quận Phú Nhuận, Thành phố Hồ Chí Minh, Việt Nam</w:t>
          </w:r>
        </w:sdtContent>
      </w:sdt>
    </w:p>
    <w:p w:rsidR="00000000" w:rsidDel="00000000" w:rsidP="00000000" w:rsidRDefault="00000000" w:rsidRPr="00000000" w14:paraId="00000008">
      <w:pPr>
        <w:tabs>
          <w:tab w:val="left" w:leader="none" w:pos="270"/>
          <w:tab w:val="left" w:leader="none" w:pos="360"/>
          <w:tab w:val="left" w:leader="none" w:pos="1440"/>
          <w:tab w:val="left" w:leader="none" w:pos="1530"/>
        </w:tabs>
        <w:spacing w:after="80" w:before="80" w:line="264" w:lineRule="auto"/>
        <w:ind w:left="567" w:hanging="567"/>
        <w:jc w:val="both"/>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Điện thoại</w:t>
        <w:tab/>
        <w:t xml:space="preserve">: 0935625435</w:t>
        <w:tab/>
        <w:tab/>
        <w:tab/>
        <w:tab/>
        <w:t xml:space="preserve">Email: _________________</w:t>
      </w:r>
      <w:r w:rsidDel="00000000" w:rsidR="00000000" w:rsidRPr="00000000">
        <w:rPr>
          <w:rtl w:val="0"/>
        </w:rPr>
      </w:r>
    </w:p>
    <w:p w:rsidR="00000000" w:rsidDel="00000000" w:rsidP="00000000" w:rsidRDefault="00000000" w:rsidRPr="00000000" w14:paraId="00000009">
      <w:pPr>
        <w:tabs>
          <w:tab w:val="left" w:leader="none" w:pos="360"/>
          <w:tab w:val="left" w:leader="none" w:pos="1440"/>
          <w:tab w:val="left" w:leader="none" w:pos="1530"/>
        </w:tabs>
        <w:spacing w:after="80" w:before="80" w:line="264" w:lineRule="auto"/>
        <w:ind w:left="567" w:hanging="56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Số TK</w:t>
        <w:tab/>
        <w:t xml:space="preserve">: _________________</w:t>
        <w:tab/>
        <w:t xml:space="preserve">- </w:t>
        <w:tab/>
        <w:t xml:space="preserve">Ngân hàng: _________________</w:t>
      </w:r>
    </w:p>
    <w:p w:rsidR="00000000" w:rsidDel="00000000" w:rsidP="00000000" w:rsidRDefault="00000000" w:rsidRPr="00000000" w14:paraId="0000000A">
      <w:pPr>
        <w:tabs>
          <w:tab w:val="left" w:leader="none" w:pos="270"/>
          <w:tab w:val="left" w:leader="none" w:pos="360"/>
          <w:tab w:val="left" w:leader="none" w:pos="720"/>
          <w:tab w:val="left" w:leader="none" w:pos="1440"/>
          <w:tab w:val="left" w:leader="none" w:pos="1530"/>
          <w:tab w:val="left" w:leader="none" w:pos="1620"/>
          <w:tab w:val="left" w:leader="none" w:pos="2160"/>
          <w:tab w:val="left" w:leader="none" w:pos="8190"/>
          <w:tab w:val="right" w:leader="none" w:pos="9900"/>
        </w:tabs>
        <w:spacing w:after="80" w:before="80" w:line="264" w:lineRule="auto"/>
        <w:ind w:left="567" w:hanging="567"/>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Sau đây gọi tắt là </w:t>
      </w:r>
      <w:r w:rsidDel="00000000" w:rsidR="00000000" w:rsidRPr="00000000">
        <w:rPr>
          <w:rFonts w:ascii="Verdana" w:cs="Verdana" w:eastAsia="Verdana" w:hAnsi="Verdana"/>
          <w:b w:val="1"/>
          <w:sz w:val="20"/>
          <w:szCs w:val="20"/>
          <w:rtl w:val="0"/>
        </w:rPr>
        <w:t xml:space="preserve">“Công ty”</w:t>
      </w:r>
    </w:p>
    <w:p w:rsidR="00000000" w:rsidDel="00000000" w:rsidP="00000000" w:rsidRDefault="00000000" w:rsidRPr="00000000" w14:paraId="0000000B">
      <w:pPr>
        <w:tabs>
          <w:tab w:val="left" w:leader="none" w:pos="360"/>
        </w:tabs>
        <w:spacing w:after="80" w:before="80" w:line="264" w:lineRule="auto"/>
        <w:ind w:left="567" w:hanging="567"/>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Bên B</w:t>
        <w:tab/>
        <w:tab/>
        <w:t xml:space="preserve">: _________________________________</w:t>
        <w:tab/>
      </w:r>
    </w:p>
    <w:p w:rsidR="00000000" w:rsidDel="00000000" w:rsidP="00000000" w:rsidRDefault="00000000" w:rsidRPr="00000000" w14:paraId="0000000C">
      <w:pPr>
        <w:tabs>
          <w:tab w:val="left" w:leader="none" w:pos="360"/>
          <w:tab w:val="left" w:leader="none" w:pos="450"/>
          <w:tab w:val="left" w:leader="none" w:pos="720"/>
        </w:tabs>
        <w:spacing w:after="80" w:before="80" w:line="264" w:lineRule="auto"/>
        <w:ind w:left="567" w:hanging="56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Số CMND</w:t>
        <w:tab/>
        <w:t xml:space="preserve">: </w:t>
      </w:r>
      <w:r w:rsidDel="00000000" w:rsidR="00000000" w:rsidRPr="00000000">
        <w:rPr>
          <w:rFonts w:ascii="Verdana" w:cs="Verdana" w:eastAsia="Verdana" w:hAnsi="Verdana"/>
          <w:color w:val="000000"/>
          <w:sz w:val="20"/>
          <w:szCs w:val="20"/>
          <w:rtl w:val="0"/>
        </w:rPr>
        <w:t xml:space="preserve">_________________</w:t>
      </w:r>
      <w:r w:rsidDel="00000000" w:rsidR="00000000" w:rsidRPr="00000000">
        <w:rPr>
          <w:rtl w:val="0"/>
        </w:rPr>
      </w:r>
    </w:p>
    <w:p w:rsidR="00000000" w:rsidDel="00000000" w:rsidP="00000000" w:rsidRDefault="00000000" w:rsidRPr="00000000" w14:paraId="0000000D">
      <w:pPr>
        <w:tabs>
          <w:tab w:val="left" w:leader="none" w:pos="360"/>
          <w:tab w:val="left" w:leader="none" w:pos="450"/>
          <w:tab w:val="left" w:leader="none" w:pos="1440"/>
        </w:tabs>
        <w:spacing w:after="80" w:before="80" w:line="264" w:lineRule="auto"/>
        <w:ind w:left="567" w:hanging="567"/>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Ngày cấp</w:t>
        <w:tab/>
        <w:t xml:space="preserve">: _________________</w:t>
      </w:r>
      <w:r w:rsidDel="00000000" w:rsidR="00000000" w:rsidRPr="00000000">
        <w:rPr>
          <w:rFonts w:ascii="Verdana" w:cs="Verdana" w:eastAsia="Verdana" w:hAnsi="Verdana"/>
          <w:b w:val="1"/>
          <w:sz w:val="20"/>
          <w:szCs w:val="20"/>
          <w:rtl w:val="0"/>
        </w:rPr>
        <w:tab/>
        <w:tab/>
      </w:r>
      <w:sdt>
        <w:sdtPr>
          <w:tag w:val="goog_rdk_2"/>
        </w:sdtPr>
        <w:sdtContent>
          <w:r w:rsidDel="00000000" w:rsidR="00000000" w:rsidRPr="00000000">
            <w:rPr>
              <w:rFonts w:ascii="Arial" w:cs="Arial" w:eastAsia="Arial" w:hAnsi="Arial"/>
              <w:sz w:val="20"/>
              <w:szCs w:val="20"/>
              <w:rtl w:val="0"/>
            </w:rPr>
            <w:t xml:space="preserve">Nơi cấp: _________________</w:t>
          </w:r>
        </w:sdtContent>
      </w:sdt>
      <w:r w:rsidDel="00000000" w:rsidR="00000000" w:rsidRPr="00000000">
        <w:rPr>
          <w:rtl w:val="0"/>
        </w:rPr>
      </w:r>
    </w:p>
    <w:p w:rsidR="00000000" w:rsidDel="00000000" w:rsidP="00000000" w:rsidRDefault="00000000" w:rsidRPr="00000000" w14:paraId="0000000E">
      <w:pPr>
        <w:tabs>
          <w:tab w:val="left" w:leader="none" w:pos="360"/>
          <w:tab w:val="left" w:leader="none" w:pos="1440"/>
          <w:tab w:val="left" w:leader="none" w:pos="1530"/>
        </w:tabs>
        <w:spacing w:after="80" w:before="80" w:line="264" w:lineRule="auto"/>
        <w:ind w:left="567" w:hanging="56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Địa chỉ</w:t>
        <w:tab/>
        <w:t xml:space="preserve">: _________________</w:t>
      </w:r>
    </w:p>
    <w:p w:rsidR="00000000" w:rsidDel="00000000" w:rsidP="00000000" w:rsidRDefault="00000000" w:rsidRPr="00000000" w14:paraId="0000000F">
      <w:pPr>
        <w:tabs>
          <w:tab w:val="left" w:leader="none" w:pos="360"/>
          <w:tab w:val="left" w:leader="none" w:pos="1440"/>
          <w:tab w:val="left" w:leader="none" w:pos="1530"/>
        </w:tabs>
        <w:spacing w:after="80" w:before="80" w:line="264" w:lineRule="auto"/>
        <w:ind w:left="567" w:hanging="56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Điện thoại</w:t>
        <w:tab/>
        <w:t xml:space="preserve">: _________________</w:t>
        <w:tab/>
        <w:tab/>
        <w:t xml:space="preserve">Email: _________________</w:t>
        <w:tab/>
      </w:r>
    </w:p>
    <w:p w:rsidR="00000000" w:rsidDel="00000000" w:rsidP="00000000" w:rsidRDefault="00000000" w:rsidRPr="00000000" w14:paraId="00000010">
      <w:pPr>
        <w:tabs>
          <w:tab w:val="left" w:leader="none" w:pos="360"/>
          <w:tab w:val="left" w:leader="none" w:pos="1440"/>
          <w:tab w:val="left" w:leader="none" w:pos="1530"/>
        </w:tabs>
        <w:spacing w:after="80" w:before="80" w:line="264" w:lineRule="auto"/>
        <w:ind w:left="567" w:hanging="56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Số TK</w:t>
        <w:tab/>
        <w:t xml:space="preserve">: _________________</w:t>
        <w:tab/>
        <w:t xml:space="preserve">- </w:t>
        <w:tab/>
        <w:t xml:space="preserve">Ngân hàng: _________________</w:t>
      </w:r>
    </w:p>
    <w:p w:rsidR="00000000" w:rsidDel="00000000" w:rsidP="00000000" w:rsidRDefault="00000000" w:rsidRPr="00000000" w14:paraId="00000011">
      <w:pPr>
        <w:spacing w:after="80" w:before="80" w:line="264" w:lineRule="auto"/>
        <w:ind w:left="567" w:hanging="567"/>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Sau đây gọi tắt là </w:t>
      </w:r>
      <w:r w:rsidDel="00000000" w:rsidR="00000000" w:rsidRPr="00000000">
        <w:rPr>
          <w:rFonts w:ascii="Verdana" w:cs="Verdana" w:eastAsia="Verdana" w:hAnsi="Verdana"/>
          <w:b w:val="1"/>
          <w:sz w:val="20"/>
          <w:szCs w:val="20"/>
          <w:rtl w:val="0"/>
        </w:rPr>
        <w:t xml:space="preserve">“Nhà đầu tư”</w:t>
      </w:r>
    </w:p>
    <w:p w:rsidR="00000000" w:rsidDel="00000000" w:rsidP="00000000" w:rsidRDefault="00000000" w:rsidRPr="00000000" w14:paraId="00000012">
      <w:pPr>
        <w:spacing w:after="80" w:before="80" w:line="264" w:lineRule="auto"/>
        <w:ind w:left="567" w:hanging="567"/>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Công ty và Đối tác trong Hợp đồng này khi gọi riêng là </w:t>
      </w:r>
      <w:r w:rsidDel="00000000" w:rsidR="00000000" w:rsidRPr="00000000">
        <w:rPr>
          <w:rFonts w:ascii="Verdana" w:cs="Verdana" w:eastAsia="Verdana" w:hAnsi="Verdana"/>
          <w:b w:val="1"/>
          <w:sz w:val="20"/>
          <w:szCs w:val="20"/>
          <w:rtl w:val="0"/>
        </w:rPr>
        <w:t xml:space="preserve">“Bên”</w:t>
      </w:r>
      <w:r w:rsidDel="00000000" w:rsidR="00000000" w:rsidRPr="00000000">
        <w:rPr>
          <w:rFonts w:ascii="Verdana" w:cs="Verdana" w:eastAsia="Verdana" w:hAnsi="Verdana"/>
          <w:sz w:val="20"/>
          <w:szCs w:val="20"/>
          <w:rtl w:val="0"/>
        </w:rPr>
        <w:t xml:space="preserve"> và gọi chung là </w:t>
      </w:r>
      <w:r w:rsidDel="00000000" w:rsidR="00000000" w:rsidRPr="00000000">
        <w:rPr>
          <w:rFonts w:ascii="Verdana" w:cs="Verdana" w:eastAsia="Verdana" w:hAnsi="Verdana"/>
          <w:b w:val="1"/>
          <w:sz w:val="20"/>
          <w:szCs w:val="20"/>
          <w:rtl w:val="0"/>
        </w:rPr>
        <w:t xml:space="preserve">“Các Bên”</w:t>
      </w:r>
    </w:p>
    <w:p w:rsidR="00000000" w:rsidDel="00000000" w:rsidP="00000000" w:rsidRDefault="00000000" w:rsidRPr="00000000" w14:paraId="00000013">
      <w:pPr>
        <w:spacing w:after="80" w:before="80" w:line="264" w:lineRule="auto"/>
        <w:ind w:left="567" w:hanging="567"/>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PHẦN MỞ ĐẦU</w:t>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là một tổ chức có tư cách pháp nhân được thành lập theo pháp luật Việt Nam, có giấy chứng nhận đăng ký doanh nghiệp số 0314571903 do Sở Kế hoạch và Đầu tư TP. Hồ Chí Minh cấp ngày 14/08/2017.</w:t>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Tổng vốn Điều Lệ của Công Ty là 1.000.000.000 đồng (Một tỷ đồng).</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Phạm vi hoạt động của Công Ty và các thông tin từ và/hoặc liên quan đến hoạt động của Công ty đã được Các Bên thông tin cho nhau đầy đủ và chính xác.</w:t>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“Nhà đầu tư” là một cá nhân trong nước và mong muốn thực hiện một khoản đầu tư vào Công Ty dưới hình thức đăng ký góp vốn.</w:t>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muốn tiếp nhận thêm phần vốn góp và Nhà đầu tư đồng ý góp vốn vào Công ty theo các điều khoản và điều kiện được quy định trong Hợp Đồng này. </w:t>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GÓP VỐN ĐẦU TƯ</w:t>
      </w:r>
    </w:p>
    <w:p w:rsidR="00000000" w:rsidDel="00000000" w:rsidP="00000000" w:rsidRDefault="00000000" w:rsidRPr="00000000" w14:paraId="0000001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Tổng số tiền góp vốn: 600.000.000 VNĐ (sáu trăm triệu đồng).</w:t>
      </w:r>
    </w:p>
    <w:p w:rsidR="00000000" w:rsidDel="00000000" w:rsidP="00000000" w:rsidRDefault="00000000" w:rsidRPr="00000000" w14:paraId="0000001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Nhà đầu tư sẽ tiến hành góp vốn đầu tư vào Công ty theo những điều kiện tại Hợp đồng này.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Việc góp vốn đầu tư được thực hiện bằng cách: Nhà đầu tư chuyển khoản vào tài khoản Công ty có thông tin như phần mở đầu.</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cam kết rằng với số tiền góp vốn quy định tại Khoản 1.1 thì Nhà đầu tư sẽ sở hữu 40% Vốn Điều lệ của Công ty bằng cách giao dịch hợp pháp quy định tại Điều 2 của Hợp đồng.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Việc chuyển tiền góp vốn được thực hiện trong thời hạn </w:t>
      </w:r>
      <w:r w:rsidDel="00000000" w:rsidR="00000000" w:rsidRPr="00000000">
        <w:rPr>
          <w:rFonts w:ascii="Verdana" w:cs="Verdana" w:eastAsia="Verdana" w:hAnsi="Verdana"/>
          <w:b w:val="0"/>
          <w:i w:val="0"/>
          <w:smallCaps w:val="0"/>
          <w:strike w:val="0"/>
          <w:color w:val="000000"/>
          <w:sz w:val="20"/>
          <w:szCs w:val="20"/>
          <w:highlight w:val="yellow"/>
          <w:u w:val="none"/>
          <w:vertAlign w:val="baseline"/>
          <w:rtl w:val="0"/>
        </w:rPr>
        <w:t xml:space="preserve">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ngày kể từ ngày hoàn thành các điều kiện quy định tại Điều 2 của Hợp đồng.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ĐIỀU KIỆN TIÊN QUYẾT</w:t>
      </w:r>
    </w:p>
    <w:p w:rsidR="00000000" w:rsidDel="00000000" w:rsidP="00000000" w:rsidRDefault="00000000" w:rsidRPr="00000000" w14:paraId="0000002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Nghĩa vụ của Nhà đầu tư theo Hợp đồng này phát sinh (trừ khi có sự từ bỏ bằng văn bản của Nhà đầu tư) tùy thuộc và phụ thuộc vào các điều kiện tiên quyết mà Công ty đạt được vào ngày hoàn thành. Cụ thể:</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tiến hành thủ tục tăng Vốn Điều lệ và chuyển đổi loại hình lên Công ty TNHH hai thành viên để ghi nhận thành viên Vốn Điều lệ và thành viên góp vốn mới. Kết quả đạt được: (1) Vốn Điều lệ mới 1.600.000.000 VNĐ (một tỷ sáu trăm triệu đồng) và (2) tên Nhà đầu tư trên Giấy chứng nhận đăng ký doanh nghiệp;</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Nhà đầu tư sẽ nhận chuyển nhượng thêm phần vốn góp 40.000.000 (bốn mươi triệu đồng) chiếm 2,5% Vốn Điều lệ Công ty từ Bà Nguyễn Hồng Huệ - Chủ sở hữu Công ty chuyển nhượng. Việc chuyển nhượng này được thực hiện thông qua Hợp đồng chuyển nhượng phần vốn góp; </w:t>
      </w:r>
    </w:p>
    <w:p w:rsidR="00000000" w:rsidDel="00000000" w:rsidP="00000000" w:rsidRDefault="00000000" w:rsidRPr="00000000" w14:paraId="0000002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Ngày hoàn thành là ngày các điều kiện tiên quyết tại Điều 2.1 được hoàn thành. Cụ thể, Công ty bằng cách cung cấp cho Nhà đầu tư các văn bản/tài liệu sau nhằm xác thực về việc các điều kiện tiên quyết tại Điều 2.1 đã được hoàn thành:</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cung cấp cho Nhà đầu tư bản chính và 01 bản sao y chứng thực hợp lệ Giấy chứng nhận đăng ký doanh nghiệp đã được điều chỉnh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cung cấp cho Nhà đầu tư 01 bản chính Hợp đồng chuyển nhượng quy định tại mục ii Điều 2.1 của Hợp đồng;</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cung cấp cho Nhà đầu tư 01 (một) bản sao y có đóng dấu Công ty Sổ đăng ký thành viên và 01 bản chính Giấy chứng nhận phần vốn góp hợp lệ;</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Một bản sao y Điều lệ mới nhất có đóng dấu Công ty được gửi đến Nhà đầu tư;</w:t>
      </w:r>
    </w:p>
    <w:p w:rsidR="00000000" w:rsidDel="00000000" w:rsidP="00000000" w:rsidRDefault="00000000" w:rsidRPr="00000000" w14:paraId="0000002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Tương với các điều kiện hoàn thành nêu trên, Nhà đầu tư sẽ tiến hành góp vốn theo đúng quy định tại Điều 1 của Hợp đồng này và cung cấp cho Công ty bằng chứng đã chuyển khoản số tiền góp vốn vào tài khoản mà Công ty chỉ định;</w:t>
      </w:r>
    </w:p>
    <w:p w:rsidR="00000000" w:rsidDel="00000000" w:rsidP="00000000" w:rsidRDefault="00000000" w:rsidRPr="00000000" w14:paraId="0000002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chi phí liên quan để thực hiện các công việc tại Điều này thuộc nghĩa vụ Bên nào thì Bên đó bằng kinh phí của mình có nghĩa vụ chi trả;</w:t>
      </w:r>
    </w:p>
    <w:p w:rsidR="00000000" w:rsidDel="00000000" w:rsidP="00000000" w:rsidRDefault="00000000" w:rsidRPr="00000000" w14:paraId="0000002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Trường hợp, có bất cứ điều kiện nào tại Điều này chưa thỏa mãn (trừ khi có sự từ bỏ chính thức bằng văn bản của Bên được phép) nếu Các Bên không có thỏa thuận khác bằng văn bản, Hợp Đồng này sẽ bị chấm dứt và sẽ không còn hiệu lực và không Bên nào sẽ có bất kỳ khiếu nại nào về bất kỳ nội dung đối với Bên kia theo quy định của Hợp Đồng này (ngoại trừ bất cứ quyền và trách nhiệm nào của Các Bên phát sinh trước khi chấm dứt Hợp Đồng).</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HOẠT ĐỘNG CỦA CÔNG TY</w:t>
      </w:r>
    </w:p>
    <w:p w:rsidR="00000000" w:rsidDel="00000000" w:rsidP="00000000" w:rsidRDefault="00000000" w:rsidRPr="00000000" w14:paraId="0000002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Nguyên tắc quản lý và điều hành Công ty</w:t>
      </w:r>
    </w:p>
    <w:p w:rsidR="00000000" w:rsidDel="00000000" w:rsidP="00000000" w:rsidRDefault="00000000" w:rsidRPr="00000000" w14:paraId="0000002E">
      <w:pPr>
        <w:shd w:fill="ffffff" w:val="clear"/>
        <w:spacing w:after="80" w:before="80" w:line="264" w:lineRule="auto"/>
        <w:ind w:left="567" w:hanging="567"/>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Trừ khi có thỏa thuận khác bằng văn bản hoặc có sự quy định khác đi tại Hợp đồng này, Các Bên tại đây thống nhất và cam kết thực hiện các nguyên tắc quản lý và điều hành Công ty sau:</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Nhà đầu tư sẽ không nắm quyền điều hành Công ty. Để làm rõ, Nhà đầu tư sẽ không thực hiện vai trò của Người quản lý điều hành Công ty để tham gia điều hành các hoạt động kinh doanh hằng ngày hay quyết định các vấn đề phát sinh trong hoạt động hằng ngày của Công ty. Trừ trường hợp thuộc phạm vi thẩm quyền của Hội đồng thành viên hoặc ưu đãi đặc biệt mà Hợp đồng này trao cho Nhà đầu tư hoặc pháp luật có quy định khác.</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8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sẽ được điều hành và thực hiện hoạt động kinh doanh một cách phù hợp, hiệu quả và vì lợi ích của Công Ty và theo Kế Hoạch Kinh Doanh Năm;</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hoạt động của Công ty sẽ Tuân thủ pháp luật, Hợp Đồng này và Điều Lệ. Đại diện theo pháp luật của Công ty (Giám đốc/Chủ tịch Hội đồng thành viên) sẽ chịu trách nhiệm pháp lý trước Nhà đầu tư, tất cả các cơ quan nhà nước có thẩm quyền và bên thứ ba và đảm bảo bồi thường và bồi hoàn cho Công Ty mọi tổn thất và thiệt hại liên quan đến việc tuân thủ pháp luật của Công Ty trong toàn bộ các hoạt động kinh doanh của Công Ty trong suốt thời gian điều hành Công ty;</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sẽ thực hiện mọi giao dịch kinh doanh theo các điều khoản thương mại thông thường, phù hợp với thị trường và thông lệ, tập quán kinh doanh;</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Không thực hiện bất kỳ các khoản thanh lý, thế chấp, cầm cố, cho thuê hoặc chuyển nhượng tài sản của Công Ty khi chưa có sự chấp thuận của Hội đồng thành viên; </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sẽ giữ các sổ sách kế toán và ghi lại chính xác và đầy đủ tất cả các giao dịch và các vấn đề liên quan đến hoạt động kinh doanh của Công Ty;</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Thực hiện báo cáo một cách đầy đủ, chính xác và đúng thời hạn;</w:t>
      </w:r>
    </w:p>
    <w:p w:rsidR="00000000" w:rsidDel="00000000" w:rsidP="00000000" w:rsidRDefault="00000000" w:rsidRPr="00000000" w14:paraId="0000003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Kế hoạch kinh doanh</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Công ty sẽ tiến hành xây dựng kế hoạch kinh doanh hằng năm và đệ trình đến Nhà đầu tư trước ngày 15/12 hằng năm. Cụ thể, trước ngày 15/12 của năm, Công ty sẽ gửi đến Nhà đầu tư 01 (một) bản chính kế hoạch kinh doanh của năm sau có đóng dấu và ký tên hợp lệ từ Công ty. Nội dung chủ yếu của Kế hoạch kinh doanh hằng năm phải có bao gồm:</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mục tiêu về tài chính của năm;</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Kế hoạch tài chính, chi phí hoạt động và ngân sách của năm;</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khách hàng và thị trường tiềm năng dự kiến phát triển;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Các phương án tiếp thị và quảng cáo;</w:t>
          </w:r>
        </w:sdtContent>
      </w:sdt>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Tình hình nhân sự và các thay đổi so với Kế Hoạch Nhân Sự;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nội dung khác liên quan đến việc thực hiện hoạt động kinh doanh năm tiếp theo; và</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Tất cả các nội dung khác có thể dẫn đến thay đổi về Kế Hoạch Tổng Thể.</w:t>
      </w:r>
    </w:p>
    <w:p w:rsidR="00000000" w:rsidDel="00000000" w:rsidP="00000000" w:rsidRDefault="00000000" w:rsidRPr="00000000" w14:paraId="0000003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Báo cáo: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Công ty sẽ tiến hành báo cáo thường niên từng quý đến Nhà đầu tư về tất cả các hoạt động của mình và báo cáo tổng thể sau khi kết thúc năm tài chính hoạt động.</w:t>
      </w:r>
    </w:p>
    <w:p w:rsidR="00000000" w:rsidDel="00000000" w:rsidP="00000000" w:rsidRDefault="00000000" w:rsidRPr="00000000" w14:paraId="0000004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Quyền/ưu đãi đặc biệt mà Hợp đồng trao cho Nhà đầu tư trong hoạt động kinh doanh của Công ty:</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Nhà đầu tư được thực hiện quyền giám sát các hoạt động của Công ty và Công ty không có quyền phản đối hoặc hành động khác nhằm chống lại yêu cầu/hành đồng của Nhà đầu tư trong phạm vi quyền giám sát được Hợp đồng này trao cho;</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Nhà đầu tư được thực hiện tất cả các quyền theo Điều lệ và/hoặc theo quy định của Pháp luật thì Nhà đầu tư có quyền này mà không có ai có thể hạn chế/cấm đoán;</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Tham dự họp Hội đồng thành viên, thảo luận, kiến nghị, biểu quyết các vấn đề thuộc thẩm quyền của Hội đồng thành viên. </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 số phiếu biểu quyết tương ứng với phần vốn góp. </w:t>
          </w:r>
        </w:sdtContent>
      </w:sdt>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Được chia giá trị tài sản còn lại của công ty tương ứng với phần vốn góp khi công ty giải thể hoặc phá sản.</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Được ưu tiên góp thêm vốn vào công ty khi công ty tăng vốn điều lệ. </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Được Công ty bảo lưu và không thay đổi tỷ lệ vốn góp theo Vốn Điều lệ là 40%. Để làm rõ, Công ty theo điều này sẽ giữ cho Nhà đầu tư không bị thay đổi về tỷ lệ sở hữu Vốn Điều lệ dù Công ty có tăng vốn điều lệ hay tiếp nhận thêm thành viên góp vốn mới. Trong trường hợp có sự thay đổi, Công ty có nghĩa vụ đóng góp thêm để duy trì quyền này của Nhà đầu tư.</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Định đoạt phần vốn góp của mình bằng cách chuyển nhượng một phần hoặc toàn bộ, tặng cho và cách khác theo quy định của pháp luật và Điều lệ công ty.</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Đối với các vấn đề mà pháp luật quy định phải được thông qua bởi Hội đồng thành viên thì Công ty có trách nhiệm tổ chức cuộc họp và Nhà đầu tư có quyền tham dự, biểu quyết. Bao gồm nhưng không giới hạn các vấn đề sau:</w:t>
      </w:r>
    </w:p>
    <w:p w:rsidR="00000000" w:rsidDel="00000000" w:rsidP="00000000" w:rsidRDefault="00000000" w:rsidRPr="00000000" w14:paraId="0000004B">
      <w:pPr>
        <w:shd w:fill="ffffff" w:val="clear"/>
        <w:spacing w:after="80" w:before="80" w:line="264" w:lineRule="auto"/>
        <w:ind w:left="567" w:hanging="567"/>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Sửa đổi, bổ sung nội dung của Điều lệ Công ty </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Quyết định phương hướng phát triển Công ty;</w:t>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Bầu, miễn nhiệm, bãi nhiệm Chủ tịch Hội đồng thành viên; bổ nhiệm, miễn nhiệm, bãi nhiệm Giám đốc hoặc Tổng giám đốc;</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Thông qua báo cáo tài chính hằng năm;</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Tổ chức lại hoặc giải thể Công ty ;</w:t>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Hợp đồng, giao dịch giữa Công ty với các đối tượng sau đây phải được Hội đồng thành viên chấp thuận: (1) Thành viên, người đại diện theo ủy quyền của thành viên, Giám đốc hoặc Tổng giám đốc, người đại diện theo pháp luật của Công ty; (2) Người có liên quan của những người quy định tại điểm (1) mục này; (3) Người quản lý công ty mẹ, người có thẩm quyền bổ nhiệm người quản lý công ty mẹ; (4) Người có liên quan của người quy định tại điểm (3) mục này.</w:t>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CAM KẾT CỦA CÁC BÊN</w:t>
      </w:r>
    </w:p>
    <w:p w:rsidR="00000000" w:rsidDel="00000000" w:rsidP="00000000" w:rsidRDefault="00000000" w:rsidRPr="00000000" w14:paraId="0000005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Cam kết chung của Các Bên: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Thực hiện đầy đủ và đúng thời hạn các nghĩa vụ được quy định tại Hợp đồng này;</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Phối hợp tích cực để cùng phát triển Công ty nhằm đem lại lợi nhuận cao nhất;</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Đảm bảo thực hiện các nguyên tắc điều hành, báo cáo và kế hoạch hoạt động của Công ty một cách cẩn trọng và hợp lý;</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Bên sẽ hỗ trợ lẫn nhau trong việc cung cấp các tài liệu, hồ sơ, ký kết các văn bản nhằm hoàn tất các nghĩa vụ của Hợp đồng;</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Không Bên nào đang hoặc sẽ thực hiện các hành động dù là trực tiếp hay gián tiếp làm xấu đi tình hình hiện tại của Công ty hay làm mất đi khả năng và điều kiện để thực hiện Hợp đồng này.</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Bên sẽ sử dụng mọi phương pháp hợp lý và đúng đắn trong quyền hạn của mình để duy trì, cải thiện, phát triển và mở rộng hoạt động kinh doanh của Công Ty để tận dụng tốt nhất các ưu thế và để nâng cao uy tín và lợi ích của Công Ty.</w:t>
      </w:r>
    </w:p>
    <w:p w:rsidR="00000000" w:rsidDel="00000000" w:rsidP="00000000" w:rsidRDefault="00000000" w:rsidRPr="00000000" w14:paraId="0000005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Cam kết của Công ty và Bà Nguyễn Hồng Huệ:</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Ngoài những cam kết chung quy định tại Điều 4.1 của Hợp đồng này, Công ty và Bà Nguyễn Hồng Huệ cam kết đầy đủ các nội dung sau đây:</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Công ty được thành lập hợp pháp và Vốn Điều lệ của Công ty là đúng theo quy định của Pháp luật;</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Hoạt động của Công ty trước, sau và ngay khi ký kết Hợp đồng này là hợp pháp. Hiện Công ty không có bất kỳ vi phạm nào về thuế, pháp luật và cũng không tồn tại bất cứ giao dịch nào về cầm cố/thế chấp/bảo lãnh/chuyển nhượng/tặng cho tài sản hay quyết định từ cơ quan nhà nước đang chờ Công ty thực hiện/thi hành;</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Chấp nhận thực hiện tất cả các thủ tục cần thiết để hoàn tất nghĩa vụ tại Hợp đồng;</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Chưa và sẽ Không thực hiện bất kỳ hành động nào gây tổn hại cho Công Ty dưới bất kỳ hình thức nào, đồng thời không được thực hiện bất kỳ yêu cầu sửa đổi nào về các vấn đề phát sinh từ/hoặc liên quan đến Giấy Chứng Nhận và Điều Lệ tại bất kỳ tòa án hay cơ quan có thẩm quyền nào hay tự ý sửa đổi Điều lệ theo hướng bất lợi cho Nhà đầu tư;</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Tự động và nỗ lực trọn vẹn để Nhà đầu tư được hưởng các quyền và/hoặc ưu đãi mà Hợp đồng, Điều lệ hay Pháp luật cho phép;</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567" w:right="0" w:hanging="567"/>
        <w:jc w:val="both"/>
        <w:rPr>
          <w:rFonts w:ascii="Verdana" w:cs="Verdana" w:eastAsia="Verdana" w:hAnsi="Verdana"/>
          <w:b w:val="0"/>
          <w:i w:val="0"/>
          <w:smallCaps w:val="0"/>
          <w:strike w:val="0"/>
          <w:color w:val="000000"/>
          <w:sz w:val="20"/>
          <w:szCs w:val="20"/>
          <w:highlight w:val="yellow"/>
          <w:u w:val="non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Trong mọi trường hợp sẽ phân chia lợi nhuận từ hoạt động kinh doanh của Công ty cho Nhà đầu tư tương đương với tỷ lệ sở hữu Vốn Điều lệ của Công ty là 40%. Việc phân chia lợi nhuận sẽ được thực hiện trong </w:t>
      </w:r>
      <w:r w:rsidDel="00000000" w:rsidR="00000000" w:rsidRPr="00000000">
        <w:rPr>
          <w:rFonts w:ascii="Verdana" w:cs="Verdana" w:eastAsia="Verdana" w:hAnsi="Verdana"/>
          <w:b w:val="0"/>
          <w:i w:val="0"/>
          <w:smallCaps w:val="0"/>
          <w:strike w:val="0"/>
          <w:color w:val="000000"/>
          <w:sz w:val="20"/>
          <w:szCs w:val="20"/>
          <w:highlight w:val="yellow"/>
          <w:u w:val="none"/>
          <w:vertAlign w:val="baseline"/>
          <w:rtl w:val="0"/>
        </w:rPr>
        <w:t xml:space="preserve">thời hạn 30 (ba mươi) ngày kể từ ngày hoàn tất các nghĩa vụ báo cáo thuế và xác định được doanh thu.</w:t>
      </w:r>
    </w:p>
    <w:p w:rsidR="00000000" w:rsidDel="00000000" w:rsidP="00000000" w:rsidRDefault="00000000" w:rsidRPr="00000000" w14:paraId="0000006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Cam kết của Nhà đầu tư</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Ngoài những cam kết chung quy định tại Điều 4.1 của Hợp đồng này, Nhà đầu tư cam kết   đầy đủ các nội dung sau đây:</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Nhà đầu tư sẽ góp vốn đầy đủ và đúng thời hạn như cam kết tại Hợp đồng;</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Nhà đầu tư bằng tài sản hợp pháp của riêng mình để góp vốn vào Công ty một cách thiện chí và hợp tác;</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Nhà đầu tư có quyền lập và thực hiện Hợp đồng này;</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Dành sự quan tâm và hành động theo đúng quy định của Hợp đồng, Điều lệ, Pháp luật cho Hoạt động của Công ty;</w:t>
      </w:r>
    </w:p>
    <w:p w:rsidR="00000000" w:rsidDel="00000000" w:rsidP="00000000" w:rsidRDefault="00000000" w:rsidRPr="00000000" w14:paraId="000000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ĐIỀU KHOẢN CHUNG</w:t>
      </w:r>
    </w:p>
    <w:p w:rsidR="00000000" w:rsidDel="00000000" w:rsidP="00000000" w:rsidRDefault="00000000" w:rsidRPr="00000000" w14:paraId="0000006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Mọi sửa đổi, bổ sung các điều khoản nào trong Hợp đồng này đều phải lập thành Phụ lục hợp đồng và phải được sự đồng ý của Các Bên. Các Phụ lục Hợp đồng phải có chữ ký hợp pháp của Các Bên và là một phần có hiệu lực của Hợp đồng này.</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Bên cam kết tuân thủ các điều khoản đã quy định tại Hợp đồng, không Bên nào được quyền vi phạm Hợp đồng. Trong quá trình thực hiện Hợp đồng, nếu có phát sinh những vấn đề khó khăn vướng mắc, Các Bên sẽ cùng nhau bàn bạc, thảo luận giải quyết trên tinh thần hợp tác.</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Bên cam kết không chuyển nhượng toàn bộ hoặc một phần Hợp đồng này cho Bên thứ ba bất kỳ khi chưa có sự chấp thuận từ Bên còn lại.</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Trường hợp mỗi Bên có sự chia, tách, sáp nhập, thay đổi tính chất, loại hình hay bất kỳ thay đổi nào khác có liên quan đến quyền sở hữu, quản lý, điều hành của mỗi Bên thì các điều khoản thỏa thuận theo Hợp đồng này không bị chi phối, Hợp đồng này vẫn có giá trị thực hiện cho (các) Bên kế thừa. Khi xảy ra trường hợp này, Chủ thể ký kết cũng như các từ ngữ của Hợp đồng này sẽ tự động được điều chỉnh tương ứng với sự thay đổi này bất kể có hay không có việc Các Bên chủ động điều chỉnh nó.</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Bên vi phạm sẽ được miễn trừ các trách nhiệm theo Hợp đồng này với lý do vì Sự kiện Bất khả kháng nếu đáp ứng đủ các điều kiện: (i) Vi phạm nghĩa vụ Hợp đồng, không tuân thủ các cam kết và gây thiệt hại cho Bên còn lại trong điều kiện Sự kiện Bất khả kháng theo định nghĩa tại Khoản này; và (ii) Bên vi phạm thực hiện nghĩa vụ Thông báo bằng văn bản cho Bên còn lại trong vòng bảy (07) ngày kể từ khi xảy ra hoặc biết được sự kiện Bất khả kháng.</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Bên thực hiện việc đình chỉ thực hiện Hợp đồng theo quy định của Hợp đồng và pháp luật. Bên đình chỉ phải thông báo trước cho bên kia 10 (mười) ngày trước ngày dự định đình chỉ Hợp đồng. Quyền và nghĩa vụ của Các Bên sau khi đình chỉ sẽ theo quy định của Hợp đồng và pháp luật.</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Luật áp dụng: Pháp luật Việt Nam sẽ áp dụng cho Hợp đồng này.</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Các Bên tham gia ký kết Hợp đồng này hoàn toàn tự nguyện, không bị ép buộc. Hợp đồng được thực hiện trên nguyên tắc thiện chí, hợp tác và thỏa thuận.</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Nếu bất kì quy định nào của Hợp đồng này trở nên vô hiệu, trái luật hoặc không có khả năng thi hành, thì những điều khoản vô hiệu, trái luật hoặc không có khả năng thi hành đó sẽ không ảnh hưởng đến các điều khoản còn lại của Hợp đồng này.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Khi có tranh chấp phát sinh từ hoặc liên quan đến Hợp đồng này, Các Bên sẽ nỗ lực thực hiện việc thương lượng, hòa giải để giải quyết. Nếu không thể tự giải quyết thì Các Bên sẽ tiến hành giải quyết tranh chấp tại Tòa án nhân dân có thẩm quyền;</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Nếu một Bên vi phạm nghĩa vụ quy định tại Hợp đồng này và không khắc phục trong thời hạn 10 ngày kể từ ngày nhận được yêu cầu của Bên bị vi phạm thì sẽ chịu phạt tương ứng 8% trong tổng số Vốn góp của Nhà đầu tư;</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Trường hợp hành vi vi phạm hợp đồng đã được yêu cầu khắc phục nhưng không khắc phục trong thời hạn 10 ngày mà gây ra thiệt hại thì Bên vi phạm phải bồi thường cho Bên bị vi phạm toàn bộ thiệt hại;</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Hợp Đồng này đã được lập thành bốn (04) bản chính, mỗi Bên giữ hai (02) bản có giá trị pháp lý như nhau.</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ffffff" w:val="clear"/>
        <w:spacing w:after="80" w:before="80" w:line="264" w:lineRule="auto"/>
        <w:ind w:left="567" w:right="0" w:hanging="56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Hợp đồng này có hiệu lực thi hành từ ngày ký.</w:t>
      </w:r>
      <w:r w:rsidDel="00000000" w:rsidR="00000000" w:rsidRPr="00000000">
        <w:rPr>
          <w:rtl w:val="0"/>
        </w:rPr>
      </w:r>
    </w:p>
    <w:p w:rsidR="00000000" w:rsidDel="00000000" w:rsidP="00000000" w:rsidRDefault="00000000" w:rsidRPr="00000000" w14:paraId="00000076">
      <w:pPr>
        <w:shd w:fill="ffffff" w:val="clear"/>
        <w:spacing w:after="80" w:before="80" w:line="264" w:lineRule="auto"/>
        <w:ind w:left="567" w:hanging="567"/>
        <w:jc w:val="both"/>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ĐỂ LÀM BẰNG CHỨNG, </w:t>
      </w:r>
      <w:r w:rsidDel="00000000" w:rsidR="00000000" w:rsidRPr="00000000">
        <w:rPr>
          <w:rFonts w:ascii="Verdana" w:cs="Verdana" w:eastAsia="Verdana" w:hAnsi="Verdana"/>
          <w:color w:val="000000"/>
          <w:sz w:val="20"/>
          <w:szCs w:val="20"/>
          <w:rtl w:val="0"/>
        </w:rPr>
        <w:t xml:space="preserve">Các bên thông qua đại diện hợp pháp của mình cùng ký tên dưới đây:</w:t>
      </w:r>
    </w:p>
    <w:tbl>
      <w:tblPr>
        <w:tblStyle w:val="Table1"/>
        <w:tblW w:w="974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74"/>
        <w:gridCol w:w="4875"/>
        <w:tblGridChange w:id="0">
          <w:tblGrid>
            <w:gridCol w:w="4874"/>
            <w:gridCol w:w="4875"/>
          </w:tblGrid>
        </w:tblGridChange>
      </w:tblGrid>
      <w:tr>
        <w:trPr>
          <w:cantSplit w:val="0"/>
          <w:tblHeader w:val="0"/>
        </w:trPr>
        <w:tc>
          <w:tcPr/>
          <w:p w:rsidR="00000000" w:rsidDel="00000000" w:rsidP="00000000" w:rsidRDefault="00000000" w:rsidRPr="00000000" w14:paraId="00000077">
            <w:pPr>
              <w:spacing w:after="80" w:before="80" w:line="264" w:lineRule="auto"/>
              <w:ind w:left="567" w:hanging="567"/>
              <w:jc w:val="center"/>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u w:val="none"/>
                <w:rtl w:val="0"/>
              </w:rPr>
              <w:t xml:space="preserve">NHÀ ĐẦU TƯ</w:t>
            </w:r>
          </w:p>
          <w:p w:rsidR="00000000" w:rsidDel="00000000" w:rsidP="00000000" w:rsidRDefault="00000000" w:rsidRPr="00000000" w14:paraId="00000078">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79">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7A">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7B">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7C">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7D">
            <w:pPr>
              <w:pBdr>
                <w:bottom w:color="000000" w:space="1" w:sz="12" w:val="single"/>
              </w:pBdr>
              <w:tabs>
                <w:tab w:val="left" w:leader="none" w:pos="2880"/>
              </w:tabs>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7E">
            <w:pPr>
              <w:spacing w:after="80" w:before="80" w:line="264" w:lineRule="auto"/>
              <w:ind w:left="567" w:hanging="567"/>
              <w:jc w:val="center"/>
              <w:rPr>
                <w:rFonts w:ascii="Verdana" w:cs="Verdana" w:eastAsia="Verdana" w:hAnsi="Verdana"/>
                <w:sz w:val="20"/>
                <w:szCs w:val="20"/>
                <w:u w:val="none"/>
              </w:rPr>
            </w:pPr>
            <w:r w:rsidDel="00000000" w:rsidR="00000000" w:rsidRPr="00000000">
              <w:rPr>
                <w:rFonts w:ascii="Verdana" w:cs="Verdana" w:eastAsia="Verdana" w:hAnsi="Verdana"/>
                <w:sz w:val="20"/>
                <w:szCs w:val="20"/>
                <w:u w:val="none"/>
                <w:rtl w:val="0"/>
              </w:rPr>
              <w:t xml:space="preserve">Ông/Bà: </w:t>
            </w:r>
            <w:r w:rsidDel="00000000" w:rsidR="00000000" w:rsidRPr="00000000">
              <w:rPr>
                <w:rFonts w:ascii="Verdana" w:cs="Verdana" w:eastAsia="Verdana" w:hAnsi="Verdana"/>
                <w:sz w:val="20"/>
                <w:szCs w:val="20"/>
                <w:u w:val="single"/>
                <w:rtl w:val="0"/>
              </w:rPr>
              <w:t xml:space="preserve">_____________</w:t>
            </w:r>
            <w:r w:rsidDel="00000000" w:rsidR="00000000" w:rsidRPr="00000000">
              <w:rPr>
                <w:rtl w:val="0"/>
              </w:rPr>
            </w:r>
          </w:p>
          <w:p w:rsidR="00000000" w:rsidDel="00000000" w:rsidP="00000000" w:rsidRDefault="00000000" w:rsidRPr="00000000" w14:paraId="0000007F">
            <w:pPr>
              <w:spacing w:after="80" w:before="80" w:line="264" w:lineRule="auto"/>
              <w:ind w:left="567" w:hanging="567"/>
              <w:jc w:val="center"/>
              <w:rPr>
                <w:rFonts w:ascii="Verdana" w:cs="Verdana" w:eastAsia="Verdana" w:hAnsi="Verdana"/>
                <w:i w:val="1"/>
                <w:sz w:val="20"/>
                <w:szCs w:val="20"/>
                <w:u w:val="none"/>
              </w:rPr>
            </w:pPr>
            <w:r w:rsidDel="00000000" w:rsidR="00000000" w:rsidRPr="00000000">
              <w:rPr>
                <w:rFonts w:ascii="Verdana" w:cs="Verdana" w:eastAsia="Verdana" w:hAnsi="Verdana"/>
                <w:i w:val="1"/>
                <w:sz w:val="20"/>
                <w:szCs w:val="20"/>
                <w:u w:val="none"/>
                <w:rtl w:val="0"/>
              </w:rPr>
              <w:t xml:space="preserve">[Ký, ghi rõ họ tên và đóng dấu nếu có]</w:t>
            </w:r>
          </w:p>
        </w:tc>
        <w:tc>
          <w:tcPr/>
          <w:p w:rsidR="00000000" w:rsidDel="00000000" w:rsidP="00000000" w:rsidRDefault="00000000" w:rsidRPr="00000000" w14:paraId="00000080">
            <w:pPr>
              <w:spacing w:after="80" w:before="80" w:line="264" w:lineRule="auto"/>
              <w:ind w:left="567" w:hanging="567"/>
              <w:jc w:val="center"/>
              <w:rPr>
                <w:rFonts w:ascii="Verdana" w:cs="Verdana" w:eastAsia="Verdana" w:hAnsi="Verdana"/>
                <w:color w:val="000000"/>
                <w:sz w:val="20"/>
                <w:szCs w:val="20"/>
                <w:u w:val="none"/>
              </w:rPr>
            </w:pPr>
            <w:r w:rsidDel="00000000" w:rsidR="00000000" w:rsidRPr="00000000">
              <w:rPr>
                <w:rFonts w:ascii="Verdana" w:cs="Verdana" w:eastAsia="Verdana" w:hAnsi="Verdana"/>
                <w:color w:val="000000"/>
                <w:sz w:val="20"/>
                <w:szCs w:val="20"/>
                <w:u w:val="none"/>
                <w:rtl w:val="0"/>
              </w:rPr>
              <w:t xml:space="preserve">THAY MẶT VÀ ĐẠI DIỆN CÔNG TY</w:t>
            </w:r>
          </w:p>
          <w:p w:rsidR="00000000" w:rsidDel="00000000" w:rsidP="00000000" w:rsidRDefault="00000000" w:rsidRPr="00000000" w14:paraId="00000081">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82">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83">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84">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85">
            <w:pP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86">
            <w:pPr>
              <w:pBdr>
                <w:bottom w:color="000000" w:space="1" w:sz="12" w:val="single"/>
              </w:pBdr>
              <w:spacing w:after="80" w:before="80" w:line="264" w:lineRule="auto"/>
              <w:ind w:left="567" w:hanging="567"/>
              <w:jc w:val="center"/>
              <w:rPr>
                <w:rFonts w:ascii="Verdana" w:cs="Verdana" w:eastAsia="Verdana" w:hAnsi="Verdana"/>
                <w:sz w:val="20"/>
                <w:szCs w:val="20"/>
                <w:u w:val="none"/>
              </w:rPr>
            </w:pPr>
            <w:r w:rsidDel="00000000" w:rsidR="00000000" w:rsidRPr="00000000">
              <w:rPr>
                <w:rtl w:val="0"/>
              </w:rPr>
            </w:r>
          </w:p>
          <w:p w:rsidR="00000000" w:rsidDel="00000000" w:rsidP="00000000" w:rsidRDefault="00000000" w:rsidRPr="00000000" w14:paraId="00000087">
            <w:pPr>
              <w:spacing w:after="80" w:before="80" w:line="264" w:lineRule="auto"/>
              <w:ind w:left="567" w:hanging="567"/>
              <w:jc w:val="center"/>
              <w:rPr>
                <w:rFonts w:ascii="Verdana" w:cs="Verdana" w:eastAsia="Verdana" w:hAnsi="Verdana"/>
                <w:sz w:val="20"/>
                <w:szCs w:val="20"/>
                <w:u w:val="none"/>
              </w:rPr>
            </w:pPr>
            <w:r w:rsidDel="00000000" w:rsidR="00000000" w:rsidRPr="00000000">
              <w:rPr>
                <w:rFonts w:ascii="Verdana" w:cs="Verdana" w:eastAsia="Verdana" w:hAnsi="Verdana"/>
                <w:sz w:val="20"/>
                <w:szCs w:val="20"/>
                <w:u w:val="none"/>
                <w:rtl w:val="0"/>
              </w:rPr>
              <w:t xml:space="preserve">Bà: NGUYỄN HỒNG HUỆ</w:t>
            </w:r>
          </w:p>
          <w:p w:rsidR="00000000" w:rsidDel="00000000" w:rsidP="00000000" w:rsidRDefault="00000000" w:rsidRPr="00000000" w14:paraId="00000088">
            <w:pPr>
              <w:spacing w:after="80" w:before="80" w:line="264" w:lineRule="auto"/>
              <w:ind w:left="567" w:hanging="567"/>
              <w:jc w:val="center"/>
              <w:rPr>
                <w:rFonts w:ascii="Verdana" w:cs="Verdana" w:eastAsia="Verdana" w:hAnsi="Verdana"/>
                <w:i w:val="1"/>
                <w:sz w:val="20"/>
                <w:szCs w:val="20"/>
                <w:u w:val="none"/>
              </w:rPr>
            </w:pPr>
            <w:r w:rsidDel="00000000" w:rsidR="00000000" w:rsidRPr="00000000">
              <w:rPr>
                <w:rFonts w:ascii="Verdana" w:cs="Verdana" w:eastAsia="Verdana" w:hAnsi="Verdana"/>
                <w:i w:val="1"/>
                <w:sz w:val="20"/>
                <w:szCs w:val="20"/>
                <w:u w:val="none"/>
                <w:rtl w:val="0"/>
              </w:rPr>
              <w:t xml:space="preserve">[Ký, ghi rõ họ tên và đóng dấu nếu có]</w:t>
            </w:r>
          </w:p>
        </w:tc>
      </w:tr>
    </w:tbl>
    <w:p w:rsidR="00000000" w:rsidDel="00000000" w:rsidP="00000000" w:rsidRDefault="00000000" w:rsidRPr="00000000" w14:paraId="00000089">
      <w:pPr>
        <w:shd w:fill="ffffff" w:val="clear"/>
        <w:spacing w:after="80" w:before="80" w:line="264" w:lineRule="auto"/>
        <w:ind w:left="567" w:hanging="567"/>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8A">
      <w:pPr>
        <w:shd w:fill="ffffff" w:val="clear"/>
        <w:spacing w:after="80" w:before="80" w:line="264" w:lineRule="auto"/>
        <w:ind w:left="567" w:hanging="567"/>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8B">
      <w:pPr>
        <w:spacing w:after="80" w:before="80" w:line="264" w:lineRule="auto"/>
        <w:ind w:left="567" w:hanging="567"/>
        <w:jc w:val="both"/>
        <w:rPr>
          <w:rFonts w:ascii="Verdana" w:cs="Verdana" w:eastAsia="Verdana" w:hAnsi="Verdan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134" w:left="1701" w:right="1134"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961"/>
      </w:tabs>
      <w:spacing w:after="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Hợp đồng góp vốn đầu tư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Trang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684" w:hanging="360"/>
      </w:pPr>
      <w:rPr/>
    </w:lvl>
    <w:lvl w:ilvl="1">
      <w:start w:val="1"/>
      <w:numFmt w:val="lowerLetter"/>
      <w:lvlText w:val="%2."/>
      <w:lvlJc w:val="left"/>
      <w:pPr>
        <w:ind w:left="2404" w:hanging="360"/>
      </w:pPr>
      <w:rPr/>
    </w:lvl>
    <w:lvl w:ilvl="2">
      <w:start w:val="1"/>
      <w:numFmt w:val="lowerRoman"/>
      <w:lvlText w:val="%3."/>
      <w:lvlJc w:val="right"/>
      <w:pPr>
        <w:ind w:left="3124" w:hanging="180"/>
      </w:pPr>
      <w:rPr/>
    </w:lvl>
    <w:lvl w:ilvl="3">
      <w:start w:val="1"/>
      <w:numFmt w:val="decimal"/>
      <w:lvlText w:val="%4."/>
      <w:lvlJc w:val="left"/>
      <w:pPr>
        <w:ind w:left="3844" w:hanging="360"/>
      </w:pPr>
      <w:rPr/>
    </w:lvl>
    <w:lvl w:ilvl="4">
      <w:start w:val="1"/>
      <w:numFmt w:val="lowerLetter"/>
      <w:lvlText w:val="%5."/>
      <w:lvlJc w:val="left"/>
      <w:pPr>
        <w:ind w:left="4564" w:hanging="360"/>
      </w:pPr>
      <w:rPr/>
    </w:lvl>
    <w:lvl w:ilvl="5">
      <w:start w:val="1"/>
      <w:numFmt w:val="lowerRoman"/>
      <w:lvlText w:val="%6."/>
      <w:lvlJc w:val="right"/>
      <w:pPr>
        <w:ind w:left="5284" w:hanging="180"/>
      </w:pPr>
      <w:rPr/>
    </w:lvl>
    <w:lvl w:ilvl="6">
      <w:start w:val="1"/>
      <w:numFmt w:val="decimal"/>
      <w:lvlText w:val="%7."/>
      <w:lvlJc w:val="left"/>
      <w:pPr>
        <w:ind w:left="6004" w:hanging="360"/>
      </w:pPr>
      <w:rPr/>
    </w:lvl>
    <w:lvl w:ilvl="7">
      <w:start w:val="1"/>
      <w:numFmt w:val="lowerLetter"/>
      <w:lvlText w:val="%8."/>
      <w:lvlJc w:val="left"/>
      <w:pPr>
        <w:ind w:left="6724" w:hanging="360"/>
      </w:pPr>
      <w:rPr/>
    </w:lvl>
    <w:lvl w:ilvl="8">
      <w:start w:val="1"/>
      <w:numFmt w:val="lowerRoman"/>
      <w:lvlText w:val="%9."/>
      <w:lvlJc w:val="right"/>
      <w:pPr>
        <w:ind w:left="7444" w:hanging="180"/>
      </w:pPr>
      <w:rPr/>
    </w:lvl>
  </w:abstractNum>
  <w:abstractNum w:abstractNumId="2">
    <w:lvl w:ilvl="0">
      <w:start w:val="1"/>
      <w:numFmt w:val="lowerRoman"/>
      <w:lvlText w:val="%1."/>
      <w:lvlJc w:val="left"/>
      <w:pPr>
        <w:ind w:left="1684"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1684"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left"/>
      <w:pPr>
        <w:ind w:left="175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left"/>
      <w:pPr>
        <w:ind w:left="1755" w:hanging="360"/>
      </w:pPr>
      <w:rPr/>
    </w:lvl>
    <w:lvl w:ilvl="1">
      <w:start w:val="1"/>
      <w:numFmt w:val="lowerLetter"/>
      <w:lvlText w:val="%2."/>
      <w:lvlJc w:val="left"/>
      <w:pPr>
        <w:ind w:left="2475" w:hanging="360"/>
      </w:pPr>
      <w:rPr/>
    </w:lvl>
    <w:lvl w:ilvl="2">
      <w:start w:val="1"/>
      <w:numFmt w:val="lowerRoman"/>
      <w:lvlText w:val="%3."/>
      <w:lvlJc w:val="right"/>
      <w:pPr>
        <w:ind w:left="3195" w:hanging="180"/>
      </w:pPr>
      <w:rPr/>
    </w:lvl>
    <w:lvl w:ilvl="3">
      <w:start w:val="1"/>
      <w:numFmt w:val="decimal"/>
      <w:lvlText w:val="%4."/>
      <w:lvlJc w:val="left"/>
      <w:pPr>
        <w:ind w:left="3915" w:hanging="360"/>
      </w:pPr>
      <w:rPr/>
    </w:lvl>
    <w:lvl w:ilvl="4">
      <w:start w:val="1"/>
      <w:numFmt w:val="lowerLetter"/>
      <w:lvlText w:val="%5."/>
      <w:lvlJc w:val="left"/>
      <w:pPr>
        <w:ind w:left="4635" w:hanging="360"/>
      </w:pPr>
      <w:rPr/>
    </w:lvl>
    <w:lvl w:ilvl="5">
      <w:start w:val="1"/>
      <w:numFmt w:val="lowerRoman"/>
      <w:lvlText w:val="%6."/>
      <w:lvlJc w:val="right"/>
      <w:pPr>
        <w:ind w:left="5355" w:hanging="180"/>
      </w:pPr>
      <w:rPr/>
    </w:lvl>
    <w:lvl w:ilvl="6">
      <w:start w:val="1"/>
      <w:numFmt w:val="decimal"/>
      <w:lvlText w:val="%7."/>
      <w:lvlJc w:val="left"/>
      <w:pPr>
        <w:ind w:left="6075" w:hanging="360"/>
      </w:pPr>
      <w:rPr/>
    </w:lvl>
    <w:lvl w:ilvl="7">
      <w:start w:val="1"/>
      <w:numFmt w:val="lowerLetter"/>
      <w:lvlText w:val="%8."/>
      <w:lvlJc w:val="left"/>
      <w:pPr>
        <w:ind w:left="6795" w:hanging="360"/>
      </w:pPr>
      <w:rPr/>
    </w:lvl>
    <w:lvl w:ilvl="8">
      <w:start w:val="1"/>
      <w:numFmt w:val="lowerRoman"/>
      <w:lvlText w:val="%9."/>
      <w:lvlJc w:val="right"/>
      <w:pPr>
        <w:ind w:left="7515" w:hanging="180"/>
      </w:pPr>
      <w:rPr/>
    </w:lvl>
  </w:abstractNum>
  <w:abstractNum w:abstractNumId="6">
    <w:lvl w:ilvl="0">
      <w:start w:val="1"/>
      <w:numFmt w:val="lowerRoman"/>
      <w:lvlText w:val="%1."/>
      <w:lvlJc w:val="left"/>
      <w:pPr>
        <w:ind w:left="1684" w:hanging="360"/>
      </w:pPr>
      <w:rPr/>
    </w:lvl>
    <w:lvl w:ilvl="1">
      <w:start w:val="1"/>
      <w:numFmt w:val="lowerLetter"/>
      <w:lvlText w:val="%2."/>
      <w:lvlJc w:val="left"/>
      <w:pPr>
        <w:ind w:left="2404" w:hanging="360"/>
      </w:pPr>
      <w:rPr/>
    </w:lvl>
    <w:lvl w:ilvl="2">
      <w:start w:val="1"/>
      <w:numFmt w:val="lowerRoman"/>
      <w:lvlText w:val="%3."/>
      <w:lvlJc w:val="right"/>
      <w:pPr>
        <w:ind w:left="3124" w:hanging="180"/>
      </w:pPr>
      <w:rPr/>
    </w:lvl>
    <w:lvl w:ilvl="3">
      <w:start w:val="1"/>
      <w:numFmt w:val="decimal"/>
      <w:lvlText w:val="%4."/>
      <w:lvlJc w:val="left"/>
      <w:pPr>
        <w:ind w:left="3844" w:hanging="360"/>
      </w:pPr>
      <w:rPr/>
    </w:lvl>
    <w:lvl w:ilvl="4">
      <w:start w:val="1"/>
      <w:numFmt w:val="lowerLetter"/>
      <w:lvlText w:val="%5."/>
      <w:lvlJc w:val="left"/>
      <w:pPr>
        <w:ind w:left="4564" w:hanging="360"/>
      </w:pPr>
      <w:rPr/>
    </w:lvl>
    <w:lvl w:ilvl="5">
      <w:start w:val="1"/>
      <w:numFmt w:val="lowerRoman"/>
      <w:lvlText w:val="%6."/>
      <w:lvlJc w:val="right"/>
      <w:pPr>
        <w:ind w:left="5284" w:hanging="180"/>
      </w:pPr>
      <w:rPr/>
    </w:lvl>
    <w:lvl w:ilvl="6">
      <w:start w:val="1"/>
      <w:numFmt w:val="decimal"/>
      <w:lvlText w:val="%7."/>
      <w:lvlJc w:val="left"/>
      <w:pPr>
        <w:ind w:left="6004" w:hanging="360"/>
      </w:pPr>
      <w:rPr/>
    </w:lvl>
    <w:lvl w:ilvl="7">
      <w:start w:val="1"/>
      <w:numFmt w:val="lowerLetter"/>
      <w:lvlText w:val="%8."/>
      <w:lvlJc w:val="left"/>
      <w:pPr>
        <w:ind w:left="6724" w:hanging="360"/>
      </w:pPr>
      <w:rPr/>
    </w:lvl>
    <w:lvl w:ilvl="8">
      <w:start w:val="1"/>
      <w:numFmt w:val="lowerRoman"/>
      <w:lvlText w:val="%9."/>
      <w:lvlJc w:val="right"/>
      <w:pPr>
        <w:ind w:left="7444" w:hanging="180"/>
      </w:pPr>
      <w:rPr/>
    </w:lvl>
  </w:abstractNum>
  <w:abstractNum w:abstractNumId="7">
    <w:lvl w:ilvl="0">
      <w:start w:val="1"/>
      <w:numFmt w:val="lowerRoman"/>
      <w:lvlText w:val="%1."/>
      <w:lvlJc w:val="left"/>
      <w:pPr>
        <w:ind w:left="1684"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Roman"/>
      <w:lvlText w:val="%1."/>
      <w:lvlJc w:val="left"/>
      <w:pPr>
        <w:ind w:left="1684" w:hanging="360"/>
      </w:pPr>
      <w:rPr/>
    </w:lvl>
    <w:lvl w:ilvl="1">
      <w:start w:val="1"/>
      <w:numFmt w:val="lowerLetter"/>
      <w:lvlText w:val="%2."/>
      <w:lvlJc w:val="left"/>
      <w:pPr>
        <w:ind w:left="2404" w:hanging="360"/>
      </w:pPr>
      <w:rPr/>
    </w:lvl>
    <w:lvl w:ilvl="2">
      <w:start w:val="1"/>
      <w:numFmt w:val="lowerRoman"/>
      <w:lvlText w:val="%3."/>
      <w:lvlJc w:val="right"/>
      <w:pPr>
        <w:ind w:left="3124" w:hanging="180"/>
      </w:pPr>
      <w:rPr/>
    </w:lvl>
    <w:lvl w:ilvl="3">
      <w:start w:val="1"/>
      <w:numFmt w:val="decimal"/>
      <w:lvlText w:val="%4."/>
      <w:lvlJc w:val="left"/>
      <w:pPr>
        <w:ind w:left="3844" w:hanging="360"/>
      </w:pPr>
      <w:rPr/>
    </w:lvl>
    <w:lvl w:ilvl="4">
      <w:start w:val="1"/>
      <w:numFmt w:val="lowerLetter"/>
      <w:lvlText w:val="%5."/>
      <w:lvlJc w:val="left"/>
      <w:pPr>
        <w:ind w:left="4564" w:hanging="360"/>
      </w:pPr>
      <w:rPr/>
    </w:lvl>
    <w:lvl w:ilvl="5">
      <w:start w:val="1"/>
      <w:numFmt w:val="lowerRoman"/>
      <w:lvlText w:val="%6."/>
      <w:lvlJc w:val="right"/>
      <w:pPr>
        <w:ind w:left="5284" w:hanging="180"/>
      </w:pPr>
      <w:rPr/>
    </w:lvl>
    <w:lvl w:ilvl="6">
      <w:start w:val="1"/>
      <w:numFmt w:val="decimal"/>
      <w:lvlText w:val="%7."/>
      <w:lvlJc w:val="left"/>
      <w:pPr>
        <w:ind w:left="6004" w:hanging="360"/>
      </w:pPr>
      <w:rPr/>
    </w:lvl>
    <w:lvl w:ilvl="7">
      <w:start w:val="1"/>
      <w:numFmt w:val="lowerLetter"/>
      <w:lvlText w:val="%8."/>
      <w:lvlJc w:val="left"/>
      <w:pPr>
        <w:ind w:left="6724" w:hanging="360"/>
      </w:pPr>
      <w:rPr/>
    </w:lvl>
    <w:lvl w:ilvl="8">
      <w:start w:val="1"/>
      <w:numFmt w:val="lowerRoman"/>
      <w:lvlText w:val="%9."/>
      <w:lvlJc w:val="right"/>
      <w:pPr>
        <w:ind w:left="7444" w:hanging="180"/>
      </w:pPr>
      <w:rPr/>
    </w:lvl>
  </w:abstractNum>
  <w:abstractNum w:abstractNumId="9">
    <w:lvl w:ilvl="0">
      <w:start w:val="1"/>
      <w:numFmt w:val="bullet"/>
      <w:lvlText w:val="▪"/>
      <w:lvlJc w:val="left"/>
      <w:pPr>
        <w:ind w:left="1778" w:hanging="360"/>
      </w:pPr>
      <w:rPr>
        <w:rFonts w:ascii="Noto Sans Symbols" w:cs="Noto Sans Symbols" w:eastAsia="Noto Sans Symbols" w:hAnsi="Noto Sans Symbols"/>
      </w:rPr>
    </w:lvl>
    <w:lvl w:ilvl="1">
      <w:start w:val="1"/>
      <w:numFmt w:val="bullet"/>
      <w:lvlText w:val="o"/>
      <w:lvlJc w:val="left"/>
      <w:pPr>
        <w:ind w:left="2498" w:hanging="360"/>
      </w:pPr>
      <w:rPr>
        <w:rFonts w:ascii="Courier New" w:cs="Courier New" w:eastAsia="Courier New" w:hAnsi="Courier New"/>
      </w:rPr>
    </w:lvl>
    <w:lvl w:ilvl="2">
      <w:start w:val="1"/>
      <w:numFmt w:val="bullet"/>
      <w:lvlText w:val="▪"/>
      <w:lvlJc w:val="left"/>
      <w:pPr>
        <w:ind w:left="3218" w:hanging="360"/>
      </w:pPr>
      <w:rPr>
        <w:rFonts w:ascii="Noto Sans Symbols" w:cs="Noto Sans Symbols" w:eastAsia="Noto Sans Symbols" w:hAnsi="Noto Sans Symbols"/>
      </w:rPr>
    </w:lvl>
    <w:lvl w:ilvl="3">
      <w:start w:val="1"/>
      <w:numFmt w:val="bullet"/>
      <w:lvlText w:val="●"/>
      <w:lvlJc w:val="left"/>
      <w:pPr>
        <w:ind w:left="3938" w:hanging="360"/>
      </w:pPr>
      <w:rPr>
        <w:rFonts w:ascii="Noto Sans Symbols" w:cs="Noto Sans Symbols" w:eastAsia="Noto Sans Symbols" w:hAnsi="Noto Sans Symbols"/>
      </w:rPr>
    </w:lvl>
    <w:lvl w:ilvl="4">
      <w:start w:val="1"/>
      <w:numFmt w:val="bullet"/>
      <w:lvlText w:val="o"/>
      <w:lvlJc w:val="left"/>
      <w:pPr>
        <w:ind w:left="4658" w:hanging="360"/>
      </w:pPr>
      <w:rPr>
        <w:rFonts w:ascii="Courier New" w:cs="Courier New" w:eastAsia="Courier New" w:hAnsi="Courier New"/>
      </w:rPr>
    </w:lvl>
    <w:lvl w:ilvl="5">
      <w:start w:val="1"/>
      <w:numFmt w:val="bullet"/>
      <w:lvlText w:val="▪"/>
      <w:lvlJc w:val="left"/>
      <w:pPr>
        <w:ind w:left="5378" w:hanging="360"/>
      </w:pPr>
      <w:rPr>
        <w:rFonts w:ascii="Noto Sans Symbols" w:cs="Noto Sans Symbols" w:eastAsia="Noto Sans Symbols" w:hAnsi="Noto Sans Symbols"/>
      </w:rPr>
    </w:lvl>
    <w:lvl w:ilvl="6">
      <w:start w:val="1"/>
      <w:numFmt w:val="bullet"/>
      <w:lvlText w:val="●"/>
      <w:lvlJc w:val="left"/>
      <w:pPr>
        <w:ind w:left="6098" w:hanging="360"/>
      </w:pPr>
      <w:rPr>
        <w:rFonts w:ascii="Noto Sans Symbols" w:cs="Noto Sans Symbols" w:eastAsia="Noto Sans Symbols" w:hAnsi="Noto Sans Symbols"/>
      </w:rPr>
    </w:lvl>
    <w:lvl w:ilvl="7">
      <w:start w:val="1"/>
      <w:numFmt w:val="bullet"/>
      <w:lvlText w:val="o"/>
      <w:lvlJc w:val="left"/>
      <w:pPr>
        <w:ind w:left="6818" w:hanging="360"/>
      </w:pPr>
      <w:rPr>
        <w:rFonts w:ascii="Courier New" w:cs="Courier New" w:eastAsia="Courier New" w:hAnsi="Courier New"/>
      </w:rPr>
    </w:lvl>
    <w:lvl w:ilvl="8">
      <w:start w:val="1"/>
      <w:numFmt w:val="bullet"/>
      <w:lvlText w:val="▪"/>
      <w:lvlJc w:val="left"/>
      <w:pPr>
        <w:ind w:left="7538" w:hanging="360"/>
      </w:pPr>
      <w:rPr>
        <w:rFonts w:ascii="Noto Sans Symbols" w:cs="Noto Sans Symbols" w:eastAsia="Noto Sans Symbols" w:hAnsi="Noto Sans Symbols"/>
      </w:rPr>
    </w:lvl>
  </w:abstractNum>
  <w:abstractNum w:abstractNumId="10">
    <w:lvl w:ilvl="0">
      <w:start w:val="1"/>
      <w:numFmt w:val="decimal"/>
      <w:lvlText w:val="ĐIỀU %1."/>
      <w:lvlJc w:val="left"/>
      <w:pPr>
        <w:ind w:left="964" w:hanging="964"/>
      </w:pPr>
      <w:rPr/>
    </w:lvl>
    <w:lvl w:ilvl="1">
      <w:start w:val="1"/>
      <w:numFmt w:val="decimal"/>
      <w:lvlText w:val="%1.%2."/>
      <w:lvlJc w:val="left"/>
      <w:pPr>
        <w:ind w:left="964" w:hanging="964"/>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upperLetter"/>
      <w:lvlText w:val="%1."/>
      <w:lvlJc w:val="left"/>
      <w:pPr>
        <w:ind w:left="1324"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6C07"/>
    <w:rPr>
      <w:rFonts w:asciiTheme="minorHAnsi" w:hAnsiTheme="minorHAnsi"/>
      <w:sz w:val="22"/>
    </w:rPr>
  </w:style>
  <w:style w:type="paragraph" w:styleId="Heading1">
    <w:name w:val="heading 1"/>
    <w:basedOn w:val="Normal"/>
    <w:next w:val="Normal"/>
    <w:link w:val="Heading1Char"/>
    <w:uiPriority w:val="9"/>
    <w:qFormat w:val="1"/>
    <w:rsid w:val="00A10175"/>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26C07"/>
    <w:pPr>
      <w:spacing w:after="0" w:line="240" w:lineRule="auto"/>
    </w:pPr>
    <w:rPr>
      <w:rFonts w:ascii="Times New Roman Bold" w:hAnsi="Times New Roman Bold"/>
      <w:b w:val="1"/>
      <w:color w:val="000000"/>
      <w:u w:val="thick"/>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926C07"/>
    <w:pPr>
      <w:spacing w:after="160" w:line="259" w:lineRule="auto"/>
      <w:ind w:left="720"/>
      <w:contextualSpacing w:val="1"/>
    </w:pPr>
    <w:rPr>
      <w:rFonts w:ascii="Times New Roman" w:hAnsi="Times New Roman"/>
      <w:color w:val="000000"/>
      <w:sz w:val="24"/>
    </w:rPr>
  </w:style>
  <w:style w:type="character" w:styleId="ListParagraphChar" w:customStyle="1">
    <w:name w:val="List Paragraph Char"/>
    <w:basedOn w:val="DefaultParagraphFont"/>
    <w:link w:val="ListParagraph"/>
    <w:uiPriority w:val="34"/>
    <w:rsid w:val="00926C07"/>
    <w:rPr>
      <w:color w:val="000000"/>
    </w:rPr>
  </w:style>
  <w:style w:type="paragraph" w:styleId="Header">
    <w:name w:val="header"/>
    <w:basedOn w:val="Normal"/>
    <w:link w:val="HeaderChar"/>
    <w:uiPriority w:val="99"/>
    <w:unhideWhenUsed w:val="1"/>
    <w:rsid w:val="002A15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15A1"/>
    <w:rPr>
      <w:rFonts w:asciiTheme="minorHAnsi" w:hAnsiTheme="minorHAnsi"/>
      <w:sz w:val="22"/>
    </w:rPr>
  </w:style>
  <w:style w:type="paragraph" w:styleId="Footer">
    <w:name w:val="footer"/>
    <w:basedOn w:val="Normal"/>
    <w:link w:val="FooterChar"/>
    <w:uiPriority w:val="99"/>
    <w:unhideWhenUsed w:val="1"/>
    <w:rsid w:val="002A15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15A1"/>
    <w:rPr>
      <w:rFonts w:asciiTheme="minorHAnsi" w:hAnsiTheme="minorHAnsi"/>
      <w:sz w:val="22"/>
    </w:rPr>
  </w:style>
  <w:style w:type="paragraph" w:styleId="NormalWeb">
    <w:name w:val="Normal (Web)"/>
    <w:basedOn w:val="Normal"/>
    <w:uiPriority w:val="99"/>
    <w:unhideWhenUsed w:val="1"/>
    <w:rsid w:val="002A15A1"/>
    <w:pPr>
      <w:spacing w:after="100" w:afterAutospacing="1" w:before="100" w:beforeAutospacing="1" w:line="240" w:lineRule="auto"/>
    </w:pPr>
    <w:rPr>
      <w:rFonts w:ascii="Times New Roman" w:eastAsia="Times New Roman" w:hAnsi="Times New Roman"/>
      <w:sz w:val="24"/>
    </w:rPr>
  </w:style>
  <w:style w:type="character" w:styleId="Heading1Char" w:customStyle="1">
    <w:name w:val="Heading 1 Char"/>
    <w:basedOn w:val="DefaultParagraphFont"/>
    <w:link w:val="Heading1"/>
    <w:uiPriority w:val="9"/>
    <w:rsid w:val="00A10175"/>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w:cs="Times" w:eastAsia="Times" w:hAnsi="Times"/>
      <w:b w:val="1"/>
      <w:color w:val="000000"/>
      <w:u w:val="singl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qFAjKwlEFSBf0pvB2m8rCH51Q==">CgMxLjAaGwoBMBIWChQIB0IQCgdWZXJkYW5hEgVBcmlhbBobCgExEhYKFAgHQhAKB1ZlcmRhbmESBUFyaWFsGhsKATISFgoUCAdCEAoHVmVyZGFuYRIFQXJpYWwaGwoBMxIWChQIB0IQCgdWZXJkYW5hEgVBcmlhbBobCgE0EhYKFAgHQhAKB1ZlcmRhbmESBUFyaWFsMghoLmdqZGd4czgAaiEKFHN1Z2dlc3QuN2dubzdlYWNpZzY2EglWeSBUaOG6o29yITFfZG5tTWZHdHdpbDJuR050MUFWc1UtcWlETnVYbW04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2019-05-10T10:54:00Z</dcterms:created>
  <dc:creator>WINDOWS</dc:creator>
</cp:coreProperties>
</file>