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5B1" w:rsidRPr="00D635B1" w:rsidRDefault="00D635B1" w:rsidP="00D635B1">
      <w:pPr>
        <w:pStyle w:val="NormalWeb"/>
        <w:shd w:val="clear" w:color="auto" w:fill="FFFFFF"/>
        <w:spacing w:before="0" w:beforeAutospacing="0" w:after="90" w:afterAutospacing="0"/>
        <w:jc w:val="center"/>
        <w:rPr>
          <w:b/>
          <w:color w:val="1D2129"/>
          <w:sz w:val="26"/>
          <w:szCs w:val="26"/>
        </w:rPr>
      </w:pPr>
      <w:r w:rsidRPr="00D635B1">
        <w:rPr>
          <w:b/>
          <w:color w:val="1D2129"/>
          <w:sz w:val="26"/>
          <w:szCs w:val="26"/>
        </w:rPr>
        <w:t>12 KHOẢN CHI PHÍ KẾ TOÁN CẦN LƯU Ý</w:t>
      </w:r>
    </w:p>
    <w:p w:rsidR="00D635B1" w:rsidRPr="00D635B1" w:rsidRDefault="00D635B1" w:rsidP="00D635B1">
      <w:pPr>
        <w:pStyle w:val="NormalWeb"/>
        <w:shd w:val="clear" w:color="auto" w:fill="FFFFFF"/>
        <w:spacing w:before="90" w:beforeAutospacing="0" w:after="90" w:afterAutospacing="0"/>
        <w:jc w:val="both"/>
        <w:rPr>
          <w:color w:val="1D2129"/>
          <w:sz w:val="21"/>
          <w:szCs w:val="21"/>
        </w:rPr>
      </w:pPr>
      <w:r w:rsidRPr="00D635B1">
        <w:rPr>
          <w:color w:val="1D2129"/>
          <w:sz w:val="21"/>
          <w:szCs w:val="21"/>
        </w:rPr>
        <w:t>Có 12 khoản chi phí mà chúng ta cần hết sức lưu ý khi quyết toán thuế.</w:t>
      </w:r>
    </w:p>
    <w:p w:rsidR="00D635B1" w:rsidRPr="00D635B1" w:rsidRDefault="00D635B1" w:rsidP="00D635B1">
      <w:pPr>
        <w:pStyle w:val="NormalWeb"/>
        <w:shd w:val="clear" w:color="auto" w:fill="FFFFFF"/>
        <w:spacing w:before="90" w:beforeAutospacing="0" w:after="90" w:afterAutospacing="0"/>
        <w:jc w:val="both"/>
        <w:rPr>
          <w:color w:val="1D2129"/>
          <w:sz w:val="21"/>
          <w:szCs w:val="21"/>
        </w:rPr>
      </w:pPr>
      <w:r w:rsidRPr="00D635B1">
        <w:rPr>
          <w:color w:val="1D2129"/>
          <w:sz w:val="21"/>
          <w:szCs w:val="21"/>
        </w:rPr>
        <w:t>Để giúp bạn có thể tránh việc bị loại các phần vượt định mức khi cơ quan thuế kiểm tra doanh nghiệp; Kế toán Đức Hà chia sẻ những kinh nghiệm đã rút ra trong quá trình quyết toán thuế cho các Doanh nghiệp:</w:t>
      </w:r>
    </w:p>
    <w:p w:rsidR="00D635B1" w:rsidRPr="00D635B1" w:rsidRDefault="00D635B1" w:rsidP="00D635B1">
      <w:pPr>
        <w:pStyle w:val="NormalWeb"/>
        <w:shd w:val="clear" w:color="auto" w:fill="FFFFFF"/>
        <w:spacing w:before="90" w:beforeAutospacing="0" w:after="90" w:afterAutospacing="0"/>
        <w:jc w:val="both"/>
        <w:rPr>
          <w:color w:val="1D2129"/>
          <w:sz w:val="21"/>
          <w:szCs w:val="21"/>
        </w:rPr>
      </w:pPr>
      <w:r w:rsidRPr="00D635B1">
        <w:rPr>
          <w:color w:val="1D2129"/>
          <w:sz w:val="21"/>
          <w:szCs w:val="21"/>
        </w:rPr>
        <w:t>1. Chi phí Thứ 1:</w:t>
      </w:r>
    </w:p>
    <w:p w:rsidR="00D635B1" w:rsidRPr="00D635B1" w:rsidRDefault="00D635B1" w:rsidP="00D635B1">
      <w:pPr>
        <w:pStyle w:val="NormalWeb"/>
        <w:shd w:val="clear" w:color="auto" w:fill="FFFFFF"/>
        <w:spacing w:before="90" w:beforeAutospacing="0" w:after="90" w:afterAutospacing="0"/>
        <w:jc w:val="both"/>
        <w:rPr>
          <w:color w:val="1D2129"/>
          <w:sz w:val="21"/>
          <w:szCs w:val="21"/>
        </w:rPr>
      </w:pPr>
      <w:r w:rsidRPr="00D635B1">
        <w:rPr>
          <w:color w:val="1D2129"/>
          <w:sz w:val="21"/>
          <w:szCs w:val="21"/>
        </w:rPr>
        <w:t>Chi phí lãi vay có quan hệ liên kết được trừ khi tính Thuế TNDN =&gt; Không vượt quá 20% tổng lợi nhuận thuần từ hoạt động kinh doanh cộng với chi phí lãi vay, chi phí khấu hao trong kỳ của người nộp thuế.</w:t>
      </w:r>
    </w:p>
    <w:p w:rsidR="00D635B1" w:rsidRPr="00D635B1" w:rsidRDefault="00D635B1" w:rsidP="00D635B1">
      <w:pPr>
        <w:pStyle w:val="NormalWeb"/>
        <w:shd w:val="clear" w:color="auto" w:fill="FFFFFF"/>
        <w:spacing w:before="90" w:beforeAutospacing="0" w:after="90" w:afterAutospacing="0"/>
        <w:jc w:val="both"/>
        <w:rPr>
          <w:color w:val="1D2129"/>
          <w:sz w:val="21"/>
          <w:szCs w:val="21"/>
        </w:rPr>
      </w:pPr>
      <w:r w:rsidRPr="00D635B1">
        <w:rPr>
          <w:color w:val="1D2129"/>
          <w:sz w:val="21"/>
          <w:szCs w:val="21"/>
        </w:rPr>
        <w:t>* Căn cứ: Khoản 3 Điều 8 Nghị định số 20/2017/NĐ-CP.</w:t>
      </w:r>
    </w:p>
    <w:p w:rsidR="00D635B1" w:rsidRPr="00D635B1" w:rsidRDefault="00D635B1" w:rsidP="00D635B1">
      <w:pPr>
        <w:pStyle w:val="NormalWeb"/>
        <w:shd w:val="clear" w:color="auto" w:fill="FFFFFF"/>
        <w:spacing w:before="90" w:beforeAutospacing="0" w:after="90" w:afterAutospacing="0"/>
        <w:jc w:val="both"/>
        <w:rPr>
          <w:color w:val="1D2129"/>
          <w:sz w:val="21"/>
          <w:szCs w:val="21"/>
        </w:rPr>
      </w:pPr>
      <w:r w:rsidRPr="00D635B1">
        <w:rPr>
          <w:color w:val="1D2129"/>
          <w:sz w:val="21"/>
          <w:szCs w:val="21"/>
        </w:rPr>
        <w:t>2. Chi phí thứ 2:</w:t>
      </w:r>
    </w:p>
    <w:p w:rsidR="00D635B1" w:rsidRPr="00D635B1" w:rsidRDefault="00D635B1" w:rsidP="00D635B1">
      <w:pPr>
        <w:pStyle w:val="NormalWeb"/>
        <w:shd w:val="clear" w:color="auto" w:fill="FFFFFF"/>
        <w:spacing w:before="90" w:beforeAutospacing="0" w:after="90" w:afterAutospacing="0"/>
        <w:jc w:val="both"/>
        <w:rPr>
          <w:color w:val="1D2129"/>
          <w:sz w:val="21"/>
          <w:szCs w:val="21"/>
        </w:rPr>
      </w:pPr>
      <w:r w:rsidRPr="00D635B1">
        <w:rPr>
          <w:color w:val="1D2129"/>
          <w:sz w:val="21"/>
          <w:szCs w:val="21"/>
        </w:rPr>
        <w:t>Mức chi bảo hiểm hưu trí và nhân thọ =&gt; Không vượt quá 3 triệu đồng/người.</w:t>
      </w:r>
    </w:p>
    <w:p w:rsidR="00D635B1" w:rsidRPr="00D635B1" w:rsidRDefault="00D635B1" w:rsidP="00D635B1">
      <w:pPr>
        <w:pStyle w:val="NormalWeb"/>
        <w:shd w:val="clear" w:color="auto" w:fill="FFFFFF"/>
        <w:spacing w:before="90" w:beforeAutospacing="0" w:after="90" w:afterAutospacing="0"/>
        <w:jc w:val="both"/>
        <w:rPr>
          <w:color w:val="1D2129"/>
          <w:sz w:val="21"/>
          <w:szCs w:val="21"/>
        </w:rPr>
      </w:pPr>
      <w:r w:rsidRPr="00D635B1">
        <w:rPr>
          <w:color w:val="1D2129"/>
          <w:sz w:val="21"/>
          <w:szCs w:val="21"/>
        </w:rPr>
        <w:t>* Căn cứ: Điều 2 Nghị định 146/2017/NĐ-CP.</w:t>
      </w:r>
      <w:bookmarkStart w:id="0" w:name="_GoBack"/>
      <w:bookmarkEnd w:id="0"/>
    </w:p>
    <w:p w:rsidR="00D635B1" w:rsidRPr="00D635B1" w:rsidRDefault="00D635B1" w:rsidP="00D635B1">
      <w:pPr>
        <w:pStyle w:val="NormalWeb"/>
        <w:shd w:val="clear" w:color="auto" w:fill="FFFFFF"/>
        <w:spacing w:before="90" w:beforeAutospacing="0" w:after="90" w:afterAutospacing="0"/>
        <w:jc w:val="both"/>
        <w:rPr>
          <w:color w:val="1D2129"/>
          <w:sz w:val="21"/>
          <w:szCs w:val="21"/>
        </w:rPr>
      </w:pPr>
      <w:r w:rsidRPr="00D635B1">
        <w:rPr>
          <w:color w:val="1D2129"/>
          <w:sz w:val="21"/>
          <w:szCs w:val="21"/>
        </w:rPr>
        <w:t>3. Chi phí thứ 3:</w:t>
      </w:r>
    </w:p>
    <w:p w:rsidR="00D635B1" w:rsidRPr="00D635B1" w:rsidRDefault="00D635B1" w:rsidP="00D635B1">
      <w:pPr>
        <w:pStyle w:val="NormalWeb"/>
        <w:shd w:val="clear" w:color="auto" w:fill="FFFFFF"/>
        <w:spacing w:before="90" w:beforeAutospacing="0" w:after="90" w:afterAutospacing="0"/>
        <w:jc w:val="both"/>
        <w:rPr>
          <w:color w:val="1D2129"/>
          <w:sz w:val="21"/>
          <w:szCs w:val="21"/>
        </w:rPr>
      </w:pPr>
      <w:r w:rsidRPr="00D635B1">
        <w:rPr>
          <w:color w:val="1D2129"/>
          <w:sz w:val="21"/>
          <w:szCs w:val="21"/>
        </w:rPr>
        <w:t>Mức chi có tính chất phúc lợi =&gt; Không quá 1 tháng lương.</w:t>
      </w:r>
    </w:p>
    <w:p w:rsidR="00D635B1" w:rsidRPr="00D635B1" w:rsidRDefault="00D635B1" w:rsidP="00D635B1">
      <w:pPr>
        <w:pStyle w:val="NormalWeb"/>
        <w:shd w:val="clear" w:color="auto" w:fill="FFFFFF"/>
        <w:spacing w:before="90" w:beforeAutospacing="0" w:after="90" w:afterAutospacing="0"/>
        <w:jc w:val="both"/>
        <w:rPr>
          <w:color w:val="1D2129"/>
          <w:sz w:val="21"/>
          <w:szCs w:val="21"/>
        </w:rPr>
      </w:pPr>
      <w:r w:rsidRPr="00D635B1">
        <w:rPr>
          <w:color w:val="1D2129"/>
          <w:sz w:val="21"/>
          <w:szCs w:val="21"/>
        </w:rPr>
        <w:t>* Căn cứ: Điều 4 Thông tư 96/2015/TT-BTC.</w:t>
      </w:r>
    </w:p>
    <w:p w:rsidR="00D635B1" w:rsidRPr="00D635B1" w:rsidRDefault="00D635B1" w:rsidP="00D635B1">
      <w:pPr>
        <w:pStyle w:val="NormalWeb"/>
        <w:shd w:val="clear" w:color="auto" w:fill="FFFFFF"/>
        <w:spacing w:before="90" w:beforeAutospacing="0" w:after="90" w:afterAutospacing="0"/>
        <w:jc w:val="both"/>
        <w:rPr>
          <w:color w:val="1D2129"/>
          <w:sz w:val="21"/>
          <w:szCs w:val="21"/>
        </w:rPr>
      </w:pPr>
      <w:r w:rsidRPr="00D635B1">
        <w:rPr>
          <w:color w:val="1D2129"/>
          <w:sz w:val="21"/>
          <w:szCs w:val="21"/>
        </w:rPr>
        <w:t>4. Chi phí thứ 4:</w:t>
      </w:r>
    </w:p>
    <w:p w:rsidR="00D635B1" w:rsidRPr="00D635B1" w:rsidRDefault="00D635B1" w:rsidP="00D635B1">
      <w:pPr>
        <w:pStyle w:val="NormalWeb"/>
        <w:shd w:val="clear" w:color="auto" w:fill="FFFFFF"/>
        <w:spacing w:before="90" w:beforeAutospacing="0" w:after="90" w:afterAutospacing="0"/>
        <w:jc w:val="both"/>
        <w:rPr>
          <w:color w:val="1D2129"/>
          <w:sz w:val="21"/>
          <w:szCs w:val="21"/>
        </w:rPr>
      </w:pPr>
      <w:r w:rsidRPr="00D635B1">
        <w:rPr>
          <w:color w:val="1D2129"/>
          <w:sz w:val="21"/>
          <w:szCs w:val="21"/>
        </w:rPr>
        <w:t>Mức chi trang phục =&gt; Không quá 5 triệu/người/năm.</w:t>
      </w:r>
    </w:p>
    <w:p w:rsidR="00D635B1" w:rsidRPr="00D635B1" w:rsidRDefault="00D635B1" w:rsidP="00D635B1">
      <w:pPr>
        <w:pStyle w:val="NormalWeb"/>
        <w:shd w:val="clear" w:color="auto" w:fill="FFFFFF"/>
        <w:spacing w:before="90" w:beforeAutospacing="0" w:after="90" w:afterAutospacing="0"/>
        <w:jc w:val="both"/>
        <w:rPr>
          <w:color w:val="1D2129"/>
          <w:sz w:val="21"/>
          <w:szCs w:val="21"/>
        </w:rPr>
      </w:pPr>
      <w:r w:rsidRPr="00D635B1">
        <w:rPr>
          <w:color w:val="1D2129"/>
          <w:sz w:val="21"/>
          <w:szCs w:val="21"/>
        </w:rPr>
        <w:t>* Căn cứ: Thông tư 78/2014/TT-BTC.</w:t>
      </w:r>
    </w:p>
    <w:p w:rsidR="00D635B1" w:rsidRPr="00D635B1" w:rsidRDefault="00D635B1" w:rsidP="00D635B1">
      <w:pPr>
        <w:pStyle w:val="NormalWeb"/>
        <w:shd w:val="clear" w:color="auto" w:fill="FFFFFF"/>
        <w:spacing w:before="90" w:beforeAutospacing="0" w:after="90" w:afterAutospacing="0"/>
        <w:jc w:val="both"/>
        <w:rPr>
          <w:color w:val="1D2129"/>
          <w:sz w:val="21"/>
          <w:szCs w:val="21"/>
        </w:rPr>
      </w:pPr>
      <w:r w:rsidRPr="00D635B1">
        <w:rPr>
          <w:color w:val="1D2129"/>
          <w:sz w:val="21"/>
          <w:szCs w:val="21"/>
        </w:rPr>
        <w:t>5. Chi phí thứ 5: Chi phí khấu hao TSCĐ</w:t>
      </w:r>
    </w:p>
    <w:p w:rsidR="00D635B1" w:rsidRPr="00D635B1" w:rsidRDefault="00D635B1" w:rsidP="00D635B1">
      <w:pPr>
        <w:pStyle w:val="NormalWeb"/>
        <w:shd w:val="clear" w:color="auto" w:fill="FFFFFF"/>
        <w:spacing w:before="90" w:beforeAutospacing="0" w:after="90" w:afterAutospacing="0"/>
        <w:jc w:val="both"/>
        <w:rPr>
          <w:color w:val="1D2129"/>
          <w:sz w:val="21"/>
          <w:szCs w:val="21"/>
        </w:rPr>
      </w:pPr>
      <w:r w:rsidRPr="00D635B1">
        <w:rPr>
          <w:color w:val="1D2129"/>
          <w:sz w:val="21"/>
          <w:szCs w:val="21"/>
        </w:rPr>
        <w:t>- Quy định tại Điều 4 Thông tư 96/2015/TT-BTC.</w:t>
      </w:r>
    </w:p>
    <w:p w:rsidR="00D635B1" w:rsidRPr="00D635B1" w:rsidRDefault="00D635B1" w:rsidP="00D635B1">
      <w:pPr>
        <w:pStyle w:val="NormalWeb"/>
        <w:shd w:val="clear" w:color="auto" w:fill="FFFFFF"/>
        <w:spacing w:before="90" w:beforeAutospacing="0" w:after="90" w:afterAutospacing="0"/>
        <w:jc w:val="both"/>
        <w:rPr>
          <w:color w:val="1D2129"/>
          <w:sz w:val="21"/>
          <w:szCs w:val="21"/>
        </w:rPr>
      </w:pPr>
      <w:r w:rsidRPr="00D635B1">
        <w:rPr>
          <w:color w:val="1D2129"/>
          <w:sz w:val="21"/>
          <w:szCs w:val="21"/>
        </w:rPr>
        <w:t>- TSCĐ thông thường: Bị khống chế thời gian, phương pháp khấu hao từng loại tài sản theo Thông tư 45/2013/TT-BTC.</w:t>
      </w:r>
    </w:p>
    <w:p w:rsidR="00D635B1" w:rsidRPr="00D635B1" w:rsidRDefault="00D635B1" w:rsidP="00D635B1">
      <w:pPr>
        <w:pStyle w:val="NormalWeb"/>
        <w:shd w:val="clear" w:color="auto" w:fill="FFFFFF"/>
        <w:spacing w:before="90" w:beforeAutospacing="0" w:after="90" w:afterAutospacing="0"/>
        <w:jc w:val="both"/>
        <w:rPr>
          <w:color w:val="1D2129"/>
          <w:sz w:val="21"/>
          <w:szCs w:val="21"/>
        </w:rPr>
      </w:pPr>
      <w:r w:rsidRPr="00D635B1">
        <w:rPr>
          <w:color w:val="1D2129"/>
          <w:sz w:val="21"/>
          <w:szCs w:val="21"/>
        </w:rPr>
        <w:t>- Doanh nghiệp hoạt động có hiệu quả, được áp dụng khấu hao nhanh, nhưng tối đa không quá 2 lần khấu hao đường thẳng. Sau khi áp dụng phương pháp khấu hao nhanh, Doanh nghiệp vẫn có lãi.</w:t>
      </w:r>
    </w:p>
    <w:p w:rsidR="00D635B1" w:rsidRPr="00D635B1" w:rsidRDefault="00D635B1" w:rsidP="00D635B1">
      <w:pPr>
        <w:pStyle w:val="NormalWeb"/>
        <w:shd w:val="clear" w:color="auto" w:fill="FFFFFF"/>
        <w:spacing w:before="90" w:beforeAutospacing="0" w:after="90" w:afterAutospacing="0"/>
        <w:jc w:val="both"/>
        <w:rPr>
          <w:color w:val="1D2129"/>
          <w:sz w:val="21"/>
          <w:szCs w:val="21"/>
        </w:rPr>
      </w:pPr>
      <w:r w:rsidRPr="00D635B1">
        <w:rPr>
          <w:color w:val="1D2129"/>
          <w:sz w:val="21"/>
          <w:szCs w:val="21"/>
        </w:rPr>
        <w:t>- Đối với xe ô tô từ 9 chỗ ngồi trở xuống (Trừ ô tô chuyên kinh doanh vận tải hành khách, du lịch và khách sạn, ô tô dùng để làm mẫu và lái thử cho kinh doanh ô tô) thì chỉ được tính vào chi phí được trừ phần khấu hao tương ứng với phần giá trị 1,6 tỷ đồng trở xuống.</w:t>
      </w:r>
    </w:p>
    <w:p w:rsidR="00D635B1" w:rsidRPr="00D635B1" w:rsidRDefault="00D635B1" w:rsidP="00D635B1">
      <w:pPr>
        <w:pStyle w:val="NormalWeb"/>
        <w:shd w:val="clear" w:color="auto" w:fill="FFFFFF"/>
        <w:spacing w:before="90" w:beforeAutospacing="0" w:after="90" w:afterAutospacing="0"/>
        <w:jc w:val="both"/>
        <w:rPr>
          <w:color w:val="1D2129"/>
          <w:sz w:val="21"/>
          <w:szCs w:val="21"/>
        </w:rPr>
      </w:pPr>
      <w:r w:rsidRPr="00D635B1">
        <w:rPr>
          <w:color w:val="1D2129"/>
          <w:sz w:val="21"/>
          <w:szCs w:val="21"/>
        </w:rPr>
        <w:t>* Căn cứ: Thông tư 78/2014/TT-BTC, Điều 4 Thông tư 96/2015/TT-BTC.</w:t>
      </w:r>
    </w:p>
    <w:p w:rsidR="00D635B1" w:rsidRPr="00D635B1" w:rsidRDefault="00D635B1" w:rsidP="00D635B1">
      <w:pPr>
        <w:pStyle w:val="NormalWeb"/>
        <w:shd w:val="clear" w:color="auto" w:fill="FFFFFF"/>
        <w:spacing w:before="90" w:beforeAutospacing="0" w:after="90" w:afterAutospacing="0"/>
        <w:jc w:val="both"/>
        <w:rPr>
          <w:color w:val="1D2129"/>
          <w:sz w:val="21"/>
          <w:szCs w:val="21"/>
        </w:rPr>
      </w:pPr>
      <w:r w:rsidRPr="00D635B1">
        <w:rPr>
          <w:color w:val="1D2129"/>
          <w:sz w:val="21"/>
          <w:szCs w:val="21"/>
        </w:rPr>
        <w:t>6. Chi phí thứ 6: Chi tiền lương, tiền công</w:t>
      </w:r>
    </w:p>
    <w:p w:rsidR="00D635B1" w:rsidRPr="00D635B1" w:rsidRDefault="00D635B1" w:rsidP="00D635B1">
      <w:pPr>
        <w:pStyle w:val="NormalWeb"/>
        <w:shd w:val="clear" w:color="auto" w:fill="FFFFFF"/>
        <w:spacing w:before="90" w:beforeAutospacing="0" w:after="90" w:afterAutospacing="0"/>
        <w:jc w:val="both"/>
        <w:rPr>
          <w:color w:val="1D2129"/>
          <w:sz w:val="21"/>
          <w:szCs w:val="21"/>
        </w:rPr>
      </w:pPr>
      <w:r w:rsidRPr="00D635B1">
        <w:rPr>
          <w:color w:val="1D2129"/>
          <w:sz w:val="21"/>
          <w:szCs w:val="21"/>
        </w:rPr>
        <w:t>- Doanh nghiệp phải chi trả tiền lương, tiền công và các khoản phụ cấp trong năm cho người lao động trước 30/3 năm liền kề.</w:t>
      </w:r>
    </w:p>
    <w:p w:rsidR="00D635B1" w:rsidRPr="00D635B1" w:rsidRDefault="00D635B1" w:rsidP="00D635B1">
      <w:pPr>
        <w:pStyle w:val="NormalWeb"/>
        <w:shd w:val="clear" w:color="auto" w:fill="FFFFFF"/>
        <w:spacing w:before="90" w:beforeAutospacing="0" w:after="90" w:afterAutospacing="0"/>
        <w:jc w:val="both"/>
        <w:rPr>
          <w:color w:val="1D2129"/>
          <w:sz w:val="21"/>
          <w:szCs w:val="21"/>
        </w:rPr>
      </w:pPr>
      <w:r w:rsidRPr="00D635B1">
        <w:rPr>
          <w:color w:val="1D2129"/>
          <w:sz w:val="21"/>
          <w:szCs w:val="21"/>
        </w:rPr>
        <w:t>- Quỹ dự phòng để bổ sung vào quỹ tiền lương của năm sau liền kề không quá 17% quỹ tiền lương thực hiện. Sau khi trích lập Doanh nghiệp không bị lỗ (Nếu lỗ thì không được trích đủ 17%). Quỹ lương dự phòng được chi hết trong 6 tháng đầu năm của năm sau liền kề</w:t>
      </w:r>
    </w:p>
    <w:p w:rsidR="00D635B1" w:rsidRPr="00D635B1" w:rsidRDefault="00D635B1" w:rsidP="00D635B1">
      <w:pPr>
        <w:pStyle w:val="NormalWeb"/>
        <w:shd w:val="clear" w:color="auto" w:fill="FFFFFF"/>
        <w:spacing w:before="90" w:beforeAutospacing="0" w:after="90" w:afterAutospacing="0"/>
        <w:jc w:val="both"/>
        <w:rPr>
          <w:color w:val="1D2129"/>
          <w:sz w:val="21"/>
          <w:szCs w:val="21"/>
        </w:rPr>
      </w:pPr>
      <w:r w:rsidRPr="00D635B1">
        <w:rPr>
          <w:color w:val="1D2129"/>
          <w:sz w:val="21"/>
          <w:szCs w:val="21"/>
        </w:rPr>
        <w:t>7. Chi phí Thứ 7: Chi nguyên liệu, vật liệu, nhiên liệu, năng lượng, hàng hóa</w:t>
      </w:r>
    </w:p>
    <w:p w:rsidR="00D635B1" w:rsidRPr="00D635B1" w:rsidRDefault="00D635B1" w:rsidP="00D635B1">
      <w:pPr>
        <w:pStyle w:val="NormalWeb"/>
        <w:shd w:val="clear" w:color="auto" w:fill="FFFFFF"/>
        <w:spacing w:before="90" w:beforeAutospacing="0" w:after="90" w:afterAutospacing="0"/>
        <w:jc w:val="both"/>
        <w:rPr>
          <w:color w:val="1D2129"/>
          <w:sz w:val="21"/>
          <w:szCs w:val="21"/>
        </w:rPr>
      </w:pPr>
      <w:r w:rsidRPr="00D635B1">
        <w:rPr>
          <w:color w:val="1D2129"/>
          <w:sz w:val="21"/>
          <w:szCs w:val="21"/>
        </w:rPr>
        <w:t>* Quy định tại Điều 4 thông tư 96/2015/TT-BTC: Phần chi vượt mức tiêu hao nguyên liệu, vật liệu, nhiên liệu mà Nhà nước đã ban hành định mức sẽ không được tính vào chi phí được trừ khi xác định Thuế TNDN.</w:t>
      </w:r>
    </w:p>
    <w:p w:rsidR="00D635B1" w:rsidRPr="00D635B1" w:rsidRDefault="00D635B1" w:rsidP="00D635B1">
      <w:pPr>
        <w:pStyle w:val="NormalWeb"/>
        <w:shd w:val="clear" w:color="auto" w:fill="FFFFFF"/>
        <w:spacing w:before="90" w:beforeAutospacing="0" w:after="90" w:afterAutospacing="0"/>
        <w:jc w:val="both"/>
        <w:rPr>
          <w:color w:val="1D2129"/>
          <w:sz w:val="21"/>
          <w:szCs w:val="21"/>
        </w:rPr>
      </w:pPr>
      <w:r w:rsidRPr="00D635B1">
        <w:rPr>
          <w:color w:val="1D2129"/>
          <w:sz w:val="21"/>
          <w:szCs w:val="21"/>
        </w:rPr>
        <w:t>8. Chi phí thứ 8:</w:t>
      </w:r>
    </w:p>
    <w:p w:rsidR="00D635B1" w:rsidRPr="00D635B1" w:rsidRDefault="00D635B1" w:rsidP="00D635B1">
      <w:pPr>
        <w:pStyle w:val="NormalWeb"/>
        <w:shd w:val="clear" w:color="auto" w:fill="FFFFFF"/>
        <w:spacing w:before="90" w:beforeAutospacing="0" w:after="90" w:afterAutospacing="0"/>
        <w:jc w:val="both"/>
        <w:rPr>
          <w:color w:val="1D2129"/>
          <w:sz w:val="21"/>
          <w:szCs w:val="21"/>
        </w:rPr>
      </w:pPr>
      <w:r w:rsidRPr="00D635B1">
        <w:rPr>
          <w:color w:val="1D2129"/>
          <w:sz w:val="21"/>
          <w:szCs w:val="21"/>
        </w:rPr>
        <w:t>Hoàn thuế GTGT hàng hóa, dịch vụ xuất khẩu =&gt; Không quá 10% doanh thu của hàng hóa, dịch vụ xuất khẩu.</w:t>
      </w:r>
    </w:p>
    <w:p w:rsidR="00D635B1" w:rsidRPr="00D635B1" w:rsidRDefault="00D635B1" w:rsidP="00D635B1">
      <w:pPr>
        <w:pStyle w:val="NormalWeb"/>
        <w:shd w:val="clear" w:color="auto" w:fill="FFFFFF"/>
        <w:spacing w:before="90" w:beforeAutospacing="0" w:after="90" w:afterAutospacing="0"/>
        <w:jc w:val="both"/>
        <w:rPr>
          <w:color w:val="1D2129"/>
          <w:sz w:val="21"/>
          <w:szCs w:val="21"/>
        </w:rPr>
      </w:pPr>
      <w:r w:rsidRPr="00D635B1">
        <w:rPr>
          <w:color w:val="1D2129"/>
          <w:sz w:val="21"/>
          <w:szCs w:val="21"/>
        </w:rPr>
        <w:t>* Căn cứ: Khoản 4 Điều 1 Thông tư 130/2016/TT-BTC.</w:t>
      </w:r>
    </w:p>
    <w:p w:rsidR="00D635B1" w:rsidRPr="00D635B1" w:rsidRDefault="00D635B1" w:rsidP="00D635B1">
      <w:pPr>
        <w:pStyle w:val="NormalWeb"/>
        <w:shd w:val="clear" w:color="auto" w:fill="FFFFFF"/>
        <w:spacing w:before="90" w:beforeAutospacing="0" w:after="90" w:afterAutospacing="0"/>
        <w:jc w:val="both"/>
        <w:rPr>
          <w:color w:val="1D2129"/>
          <w:sz w:val="21"/>
          <w:szCs w:val="21"/>
        </w:rPr>
      </w:pPr>
      <w:r w:rsidRPr="00D635B1">
        <w:rPr>
          <w:color w:val="1D2129"/>
          <w:sz w:val="21"/>
          <w:szCs w:val="21"/>
        </w:rPr>
        <w:t>9. Chi phí thứ 9:</w:t>
      </w:r>
    </w:p>
    <w:p w:rsidR="00D635B1" w:rsidRPr="00D635B1" w:rsidRDefault="00D635B1" w:rsidP="00D635B1">
      <w:pPr>
        <w:pStyle w:val="NormalWeb"/>
        <w:shd w:val="clear" w:color="auto" w:fill="FFFFFF"/>
        <w:spacing w:before="90" w:beforeAutospacing="0" w:after="90" w:afterAutospacing="0"/>
        <w:jc w:val="both"/>
        <w:rPr>
          <w:color w:val="1D2129"/>
          <w:sz w:val="21"/>
          <w:szCs w:val="21"/>
        </w:rPr>
      </w:pPr>
      <w:r w:rsidRPr="00D635B1">
        <w:rPr>
          <w:color w:val="1D2129"/>
          <w:sz w:val="21"/>
          <w:szCs w:val="21"/>
        </w:rPr>
        <w:lastRenderedPageBreak/>
        <w:t>Khuyến mại =&gt; Mức giảm tối đa đối với hàng hóa, dịch vụ được khuyến mại không được vượt quá 50% giá hàng hóa, dịch vụ đó ngay trước thời gian khuyến mại. Điều này được hiểu là hàng khuyến mại tại Việt Nam chỉ có thể “sale-off” tối đa 50%.</w:t>
      </w:r>
    </w:p>
    <w:p w:rsidR="00D635B1" w:rsidRPr="00D635B1" w:rsidRDefault="00D635B1" w:rsidP="00D635B1">
      <w:pPr>
        <w:pStyle w:val="NormalWeb"/>
        <w:shd w:val="clear" w:color="auto" w:fill="FFFFFF"/>
        <w:spacing w:before="90" w:beforeAutospacing="0" w:after="90" w:afterAutospacing="0"/>
        <w:jc w:val="both"/>
        <w:rPr>
          <w:color w:val="1D2129"/>
          <w:sz w:val="21"/>
          <w:szCs w:val="21"/>
        </w:rPr>
      </w:pPr>
      <w:r w:rsidRPr="00D635B1">
        <w:rPr>
          <w:color w:val="1D2129"/>
          <w:sz w:val="21"/>
          <w:szCs w:val="21"/>
        </w:rPr>
        <w:t>* Căn cứ: Điều 6 Nghị định 37/2006/NĐ-CP.</w:t>
      </w:r>
    </w:p>
    <w:p w:rsidR="00D635B1" w:rsidRPr="00D635B1" w:rsidRDefault="00D635B1" w:rsidP="00D635B1">
      <w:pPr>
        <w:pStyle w:val="NormalWeb"/>
        <w:shd w:val="clear" w:color="auto" w:fill="FFFFFF"/>
        <w:spacing w:before="90" w:beforeAutospacing="0" w:after="90" w:afterAutospacing="0"/>
        <w:jc w:val="both"/>
        <w:rPr>
          <w:color w:val="1D2129"/>
          <w:sz w:val="21"/>
          <w:szCs w:val="21"/>
        </w:rPr>
      </w:pPr>
      <w:r w:rsidRPr="00D635B1">
        <w:rPr>
          <w:color w:val="1D2129"/>
          <w:sz w:val="21"/>
          <w:szCs w:val="21"/>
        </w:rPr>
        <w:t>10. Chi phí thứ 10:</w:t>
      </w:r>
    </w:p>
    <w:p w:rsidR="00D635B1" w:rsidRPr="00D635B1" w:rsidRDefault="00D635B1" w:rsidP="00D635B1">
      <w:pPr>
        <w:pStyle w:val="NormalWeb"/>
        <w:shd w:val="clear" w:color="auto" w:fill="FFFFFF"/>
        <w:spacing w:before="90" w:beforeAutospacing="0" w:after="90" w:afterAutospacing="0"/>
        <w:jc w:val="both"/>
        <w:rPr>
          <w:color w:val="1D2129"/>
          <w:sz w:val="21"/>
          <w:szCs w:val="21"/>
        </w:rPr>
      </w:pPr>
      <w:r w:rsidRPr="00D635B1">
        <w:rPr>
          <w:color w:val="1D2129"/>
          <w:sz w:val="21"/>
          <w:szCs w:val="21"/>
        </w:rPr>
        <w:t>Doanh thu cho thuê tài sản được miễn Thuế TNCN =&gt; Không quá 100 triệu đồng/năm (Cá nhân có tài sản cho thuê - Tính theo năm Dương lịch).</w:t>
      </w:r>
    </w:p>
    <w:p w:rsidR="00D635B1" w:rsidRPr="00D635B1" w:rsidRDefault="00D635B1" w:rsidP="00D635B1">
      <w:pPr>
        <w:pStyle w:val="NormalWeb"/>
        <w:shd w:val="clear" w:color="auto" w:fill="FFFFFF"/>
        <w:spacing w:before="90" w:beforeAutospacing="0" w:after="90" w:afterAutospacing="0"/>
        <w:jc w:val="both"/>
        <w:rPr>
          <w:color w:val="1D2129"/>
          <w:sz w:val="21"/>
          <w:szCs w:val="21"/>
        </w:rPr>
      </w:pPr>
      <w:r w:rsidRPr="00D635B1">
        <w:rPr>
          <w:color w:val="1D2129"/>
          <w:sz w:val="21"/>
          <w:szCs w:val="21"/>
        </w:rPr>
        <w:t>* Căn cứ: Điều 4 Thông tư 92/2015/TT-BTC</w:t>
      </w:r>
    </w:p>
    <w:p w:rsidR="00D635B1" w:rsidRPr="00D635B1" w:rsidRDefault="00D635B1" w:rsidP="00D635B1">
      <w:pPr>
        <w:pStyle w:val="NormalWeb"/>
        <w:shd w:val="clear" w:color="auto" w:fill="FFFFFF"/>
        <w:spacing w:before="90" w:beforeAutospacing="0" w:after="90" w:afterAutospacing="0"/>
        <w:jc w:val="both"/>
        <w:rPr>
          <w:color w:val="1D2129"/>
          <w:sz w:val="21"/>
          <w:szCs w:val="21"/>
        </w:rPr>
      </w:pPr>
      <w:r w:rsidRPr="00D635B1">
        <w:rPr>
          <w:color w:val="1D2129"/>
          <w:sz w:val="21"/>
          <w:szCs w:val="21"/>
        </w:rPr>
        <w:t>11. Chi phí thứ 11:</w:t>
      </w:r>
    </w:p>
    <w:p w:rsidR="00D635B1" w:rsidRPr="00D635B1" w:rsidRDefault="00D635B1" w:rsidP="00D635B1">
      <w:pPr>
        <w:pStyle w:val="NormalWeb"/>
        <w:shd w:val="clear" w:color="auto" w:fill="FFFFFF"/>
        <w:spacing w:before="90" w:beforeAutospacing="0" w:after="90" w:afterAutospacing="0"/>
        <w:jc w:val="both"/>
        <w:rPr>
          <w:color w:val="1D2129"/>
          <w:sz w:val="21"/>
          <w:szCs w:val="21"/>
        </w:rPr>
      </w:pPr>
      <w:r w:rsidRPr="00D635B1">
        <w:rPr>
          <w:color w:val="1D2129"/>
          <w:sz w:val="21"/>
          <w:szCs w:val="21"/>
        </w:rPr>
        <w:t>Mức thu nhập vãng lai khi ủy quyền quyết toán Thuế TNCN =&gt; Không quá 10 triệu đồng/tháng.</w:t>
      </w:r>
    </w:p>
    <w:p w:rsidR="00D635B1" w:rsidRPr="00D635B1" w:rsidRDefault="00D635B1" w:rsidP="00D635B1">
      <w:pPr>
        <w:pStyle w:val="NormalWeb"/>
        <w:shd w:val="clear" w:color="auto" w:fill="FFFFFF"/>
        <w:spacing w:before="90" w:beforeAutospacing="0" w:after="90" w:afterAutospacing="0"/>
        <w:jc w:val="both"/>
        <w:rPr>
          <w:color w:val="1D2129"/>
          <w:sz w:val="21"/>
          <w:szCs w:val="21"/>
        </w:rPr>
      </w:pPr>
      <w:r w:rsidRPr="00D635B1">
        <w:rPr>
          <w:color w:val="1D2129"/>
          <w:sz w:val="21"/>
          <w:szCs w:val="21"/>
        </w:rPr>
        <w:t>* Căn cứ: Điều 21 Thông tư 92/2015/TT-BTC.</w:t>
      </w:r>
    </w:p>
    <w:p w:rsidR="00D635B1" w:rsidRPr="00D635B1" w:rsidRDefault="00D635B1" w:rsidP="00D635B1">
      <w:pPr>
        <w:pStyle w:val="NormalWeb"/>
        <w:shd w:val="clear" w:color="auto" w:fill="FFFFFF"/>
        <w:spacing w:before="90" w:beforeAutospacing="0" w:after="90" w:afterAutospacing="0"/>
        <w:jc w:val="both"/>
        <w:rPr>
          <w:color w:val="1D2129"/>
          <w:sz w:val="21"/>
          <w:szCs w:val="21"/>
        </w:rPr>
      </w:pPr>
      <w:r w:rsidRPr="00D635B1">
        <w:rPr>
          <w:color w:val="1D2129"/>
          <w:sz w:val="21"/>
          <w:szCs w:val="21"/>
        </w:rPr>
        <w:t>12. Chi phí thứ 12:</w:t>
      </w:r>
    </w:p>
    <w:p w:rsidR="00D635B1" w:rsidRPr="00D635B1" w:rsidRDefault="00D635B1" w:rsidP="00D635B1">
      <w:pPr>
        <w:pStyle w:val="NormalWeb"/>
        <w:shd w:val="clear" w:color="auto" w:fill="FFFFFF"/>
        <w:spacing w:before="90" w:beforeAutospacing="0" w:after="90" w:afterAutospacing="0"/>
        <w:jc w:val="both"/>
        <w:rPr>
          <w:color w:val="1D2129"/>
          <w:sz w:val="21"/>
          <w:szCs w:val="21"/>
        </w:rPr>
      </w:pPr>
      <w:r w:rsidRPr="00D635B1">
        <w:rPr>
          <w:color w:val="1D2129"/>
          <w:sz w:val="21"/>
          <w:szCs w:val="21"/>
        </w:rPr>
        <w:t>Thuế TNCN cho người phụ thuộc =&gt; Thu nhập không quá 1 triệu đồng/tháng.</w:t>
      </w:r>
    </w:p>
    <w:p w:rsidR="00D635B1" w:rsidRPr="00D635B1" w:rsidRDefault="00D635B1" w:rsidP="00D635B1">
      <w:pPr>
        <w:pStyle w:val="NormalWeb"/>
        <w:shd w:val="clear" w:color="auto" w:fill="FFFFFF"/>
        <w:spacing w:before="90" w:beforeAutospacing="0" w:after="90" w:afterAutospacing="0"/>
        <w:jc w:val="both"/>
        <w:rPr>
          <w:color w:val="1D2129"/>
          <w:sz w:val="21"/>
          <w:szCs w:val="21"/>
        </w:rPr>
      </w:pPr>
      <w:r w:rsidRPr="00D635B1">
        <w:rPr>
          <w:color w:val="1D2129"/>
          <w:sz w:val="21"/>
          <w:szCs w:val="21"/>
        </w:rPr>
        <w:t>* Căn cứ: Điểm d, đ Khoản 1 Điều 9 Thông tư 111/2013/TT-BTC.</w:t>
      </w:r>
    </w:p>
    <w:p w:rsidR="00D635B1" w:rsidRPr="00D635B1" w:rsidRDefault="00D635B1" w:rsidP="00D635B1">
      <w:pPr>
        <w:pStyle w:val="NormalWeb"/>
        <w:shd w:val="clear" w:color="auto" w:fill="FFFFFF"/>
        <w:spacing w:before="90" w:beforeAutospacing="0" w:after="90" w:afterAutospacing="0"/>
        <w:jc w:val="both"/>
        <w:rPr>
          <w:color w:val="1D2129"/>
          <w:sz w:val="21"/>
          <w:szCs w:val="21"/>
        </w:rPr>
      </w:pPr>
      <w:r w:rsidRPr="00D635B1">
        <w:rPr>
          <w:color w:val="1D2129"/>
          <w:sz w:val="21"/>
          <w:szCs w:val="21"/>
        </w:rPr>
        <w:t xml:space="preserve">Các bạn xem chi tiết tại Thông tư 78/2014/TT-BTC, Thông tư 96/2015/TT-BTC và Công văn Số 2785/TCT-CS ngày 23/7/2014 của BTC quy định các khoản chi phí bị khống chế như: Chí tiếp thị, quảng cáo, khuyến mãi, hoa hồng môi giới, hội nghị, cho biếu tặng, trang phục cho nhân </w:t>
      </w:r>
      <w:proofErr w:type="gramStart"/>
      <w:r w:rsidRPr="00D635B1">
        <w:rPr>
          <w:color w:val="1D2129"/>
          <w:sz w:val="21"/>
          <w:szCs w:val="21"/>
        </w:rPr>
        <w:t>viên,…</w:t>
      </w:r>
      <w:proofErr w:type="gramEnd"/>
    </w:p>
    <w:p w:rsidR="008B2AC6" w:rsidRPr="00D635B1" w:rsidRDefault="008B2AC6" w:rsidP="00D635B1">
      <w:pPr>
        <w:jc w:val="both"/>
        <w:rPr>
          <w:rFonts w:ascii="Times New Roman" w:hAnsi="Times New Roman" w:cs="Times New Roman"/>
        </w:rPr>
      </w:pPr>
    </w:p>
    <w:sectPr w:rsidR="008B2AC6" w:rsidRPr="00D63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5B1"/>
    <w:rsid w:val="008B2AC6"/>
    <w:rsid w:val="00D63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9BF2D-3772-47D9-AADE-857DEAA8A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5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88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545</Words>
  <Characters>3109</Characters>
  <Application>Microsoft Office Word</Application>
  <DocSecurity>0</DocSecurity>
  <Lines>25</Lines>
  <Paragraphs>7</Paragraphs>
  <ScaleCrop>false</ScaleCrop>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2020-02-03T04:44:00Z</dcterms:created>
  <dcterms:modified xsi:type="dcterms:W3CDTF">2020-02-03T04:49:00Z</dcterms:modified>
</cp:coreProperties>
</file>