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6780" w:type="dxa"/>
        <w:tblLook w:val="04A0" w:firstRow="1" w:lastRow="0" w:firstColumn="1" w:lastColumn="0" w:noHBand="0" w:noVBand="1"/>
      </w:tblPr>
      <w:tblGrid>
        <w:gridCol w:w="12940"/>
        <w:gridCol w:w="480"/>
        <w:gridCol w:w="480"/>
        <w:gridCol w:w="480"/>
        <w:gridCol w:w="480"/>
        <w:gridCol w:w="480"/>
        <w:gridCol w:w="480"/>
        <w:gridCol w:w="480"/>
        <w:gridCol w:w="480"/>
      </w:tblGrid>
      <w:tr w:rsidR="007E5AA1" w:rsidRPr="007E5AA1" w:rsidTr="007E5AA1">
        <w:trPr>
          <w:trHeight w:val="1035"/>
        </w:trPr>
        <w:tc>
          <w:tcPr>
            <w:tcW w:w="16780" w:type="dxa"/>
            <w:gridSpan w:val="9"/>
            <w:tcBorders>
              <w:top w:val="nil"/>
              <w:left w:val="nil"/>
              <w:bottom w:val="nil"/>
              <w:right w:val="nil"/>
            </w:tcBorders>
            <w:shd w:val="clear" w:color="auto" w:fill="auto"/>
            <w:noWrap/>
            <w:vAlign w:val="center"/>
            <w:hideMark/>
          </w:tcPr>
          <w:p w:rsidR="007E5AA1" w:rsidRPr="007E5AA1" w:rsidRDefault="007E5AA1" w:rsidP="007E5AA1">
            <w:pPr>
              <w:spacing w:after="0" w:line="240" w:lineRule="auto"/>
              <w:contextualSpacing w:val="0"/>
              <w:jc w:val="center"/>
              <w:rPr>
                <w:rFonts w:eastAsia="Times New Roman" w:cs="Times New Roman"/>
                <w:b/>
                <w:bCs/>
                <w:color w:val="333333"/>
                <w:sz w:val="32"/>
                <w:szCs w:val="32"/>
              </w:rPr>
            </w:pPr>
            <w:bookmarkStart w:id="0" w:name="_GoBack"/>
            <w:r w:rsidRPr="007E5AA1">
              <w:rPr>
                <w:rFonts w:eastAsia="Times New Roman" w:cs="Times New Roman"/>
                <w:b/>
                <w:bCs/>
                <w:color w:val="333333"/>
                <w:sz w:val="32"/>
                <w:szCs w:val="32"/>
              </w:rPr>
              <w:t>Sổ sách cần in cuối năm và sắp xếp chứng từ khi quyết toán thuế</w:t>
            </w:r>
            <w:bookmarkEnd w:id="0"/>
          </w:p>
        </w:tc>
      </w:tr>
      <w:tr w:rsidR="007E5AA1" w:rsidRPr="007E5AA1" w:rsidTr="007E5AA1">
        <w:trPr>
          <w:trHeight w:val="315"/>
        </w:trPr>
        <w:tc>
          <w:tcPr>
            <w:tcW w:w="15820" w:type="dxa"/>
            <w:gridSpan w:val="7"/>
            <w:tcBorders>
              <w:top w:val="nil"/>
              <w:left w:val="nil"/>
              <w:bottom w:val="nil"/>
              <w:right w:val="nil"/>
            </w:tcBorders>
            <w:shd w:val="clear" w:color="000000" w:fill="FFC000"/>
            <w:noWrap/>
            <w:vAlign w:val="center"/>
            <w:hideMark/>
          </w:tcPr>
          <w:p w:rsidR="007E5AA1" w:rsidRPr="007E5AA1" w:rsidRDefault="007E5AA1" w:rsidP="007E5AA1">
            <w:pPr>
              <w:spacing w:after="0" w:line="240" w:lineRule="auto"/>
              <w:contextualSpacing w:val="0"/>
              <w:jc w:val="left"/>
              <w:rPr>
                <w:rFonts w:eastAsia="Times New Roman" w:cs="Times New Roman"/>
                <w:b/>
                <w:bCs/>
                <w:color w:val="333333"/>
                <w:sz w:val="24"/>
                <w:szCs w:val="24"/>
              </w:rPr>
            </w:pPr>
            <w:r w:rsidRPr="007E5AA1">
              <w:rPr>
                <w:rFonts w:eastAsia="Times New Roman" w:cs="Times New Roman"/>
                <w:b/>
                <w:bCs/>
                <w:color w:val="333333"/>
                <w:sz w:val="24"/>
                <w:szCs w:val="24"/>
              </w:rPr>
              <w:t>1.IN CÁC BẢNG KÊ, BÁO CÁO, TỜ KHAI</w:t>
            </w:r>
          </w:p>
        </w:tc>
        <w:tc>
          <w:tcPr>
            <w:tcW w:w="480" w:type="dxa"/>
            <w:tcBorders>
              <w:top w:val="nil"/>
              <w:left w:val="nil"/>
              <w:bottom w:val="nil"/>
              <w:right w:val="nil"/>
            </w:tcBorders>
            <w:shd w:val="clear" w:color="auto" w:fill="auto"/>
            <w:noWrap/>
            <w:vAlign w:val="center"/>
            <w:hideMark/>
          </w:tcPr>
          <w:p w:rsidR="007E5AA1" w:rsidRPr="007E5AA1" w:rsidRDefault="007E5AA1" w:rsidP="007E5AA1">
            <w:pPr>
              <w:spacing w:after="0" w:line="240" w:lineRule="auto"/>
              <w:contextualSpacing w:val="0"/>
              <w:jc w:val="left"/>
              <w:rPr>
                <w:rFonts w:eastAsia="Times New Roman" w:cs="Times New Roman"/>
                <w:b/>
                <w:bCs/>
                <w:color w:val="333333"/>
                <w:sz w:val="24"/>
                <w:szCs w:val="24"/>
              </w:rPr>
            </w:pPr>
          </w:p>
        </w:tc>
        <w:tc>
          <w:tcPr>
            <w:tcW w:w="480" w:type="dxa"/>
            <w:tcBorders>
              <w:top w:val="nil"/>
              <w:left w:val="nil"/>
              <w:bottom w:val="nil"/>
              <w:right w:val="nil"/>
            </w:tcBorders>
            <w:shd w:val="clear" w:color="auto" w:fill="auto"/>
            <w:noWrap/>
            <w:vAlign w:val="center"/>
            <w:hideMark/>
          </w:tcPr>
          <w:p w:rsidR="007E5AA1" w:rsidRPr="007E5AA1" w:rsidRDefault="007E5AA1" w:rsidP="007E5AA1">
            <w:pPr>
              <w:spacing w:after="0" w:line="240" w:lineRule="auto"/>
              <w:contextualSpacing w:val="0"/>
              <w:jc w:val="center"/>
              <w:rPr>
                <w:rFonts w:eastAsia="Times New Roman" w:cs="Times New Roman"/>
                <w:sz w:val="24"/>
                <w:szCs w:val="24"/>
              </w:rPr>
            </w:pPr>
          </w:p>
        </w:tc>
      </w:tr>
      <w:tr w:rsidR="007E5AA1" w:rsidRPr="007E5AA1" w:rsidTr="007E5AA1">
        <w:trPr>
          <w:trHeight w:val="315"/>
        </w:trPr>
        <w:tc>
          <w:tcPr>
            <w:tcW w:w="14380" w:type="dxa"/>
            <w:gridSpan w:val="4"/>
            <w:tcBorders>
              <w:top w:val="nil"/>
              <w:left w:val="nil"/>
              <w:bottom w:val="nil"/>
              <w:right w:val="nil"/>
            </w:tcBorders>
            <w:shd w:val="clear" w:color="auto" w:fill="auto"/>
            <w:noWrap/>
            <w:vAlign w:val="center"/>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-Báo cáo tổng hợp nhập xuất tồn</w:t>
            </w: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r>
      <w:tr w:rsidR="007E5AA1" w:rsidRPr="007E5AA1" w:rsidTr="007E5AA1">
        <w:trPr>
          <w:trHeight w:val="315"/>
        </w:trPr>
        <w:tc>
          <w:tcPr>
            <w:tcW w:w="13900" w:type="dxa"/>
            <w:gridSpan w:val="3"/>
            <w:tcBorders>
              <w:top w:val="nil"/>
              <w:left w:val="nil"/>
              <w:bottom w:val="nil"/>
              <w:right w:val="nil"/>
            </w:tcBorders>
            <w:shd w:val="clear" w:color="auto" w:fill="auto"/>
            <w:noWrap/>
            <w:vAlign w:val="center"/>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-Sổ theo dõi Khấu hao TSCĐ</w:t>
            </w: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r>
      <w:tr w:rsidR="007E5AA1" w:rsidRPr="007E5AA1" w:rsidTr="007E5AA1">
        <w:trPr>
          <w:trHeight w:val="315"/>
        </w:trPr>
        <w:tc>
          <w:tcPr>
            <w:tcW w:w="13900" w:type="dxa"/>
            <w:gridSpan w:val="3"/>
            <w:tcBorders>
              <w:top w:val="nil"/>
              <w:left w:val="nil"/>
              <w:bottom w:val="nil"/>
              <w:right w:val="nil"/>
            </w:tcBorders>
            <w:shd w:val="clear" w:color="auto" w:fill="auto"/>
            <w:noWrap/>
            <w:vAlign w:val="center"/>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-Sổ theo dõi phân bổ CCDC</w:t>
            </w: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r>
      <w:tr w:rsidR="007E5AA1" w:rsidRPr="007E5AA1" w:rsidTr="007E5AA1">
        <w:trPr>
          <w:trHeight w:val="315"/>
        </w:trPr>
        <w:tc>
          <w:tcPr>
            <w:tcW w:w="16780" w:type="dxa"/>
            <w:gridSpan w:val="9"/>
            <w:tcBorders>
              <w:top w:val="nil"/>
              <w:left w:val="nil"/>
              <w:bottom w:val="nil"/>
              <w:right w:val="nil"/>
            </w:tcBorders>
            <w:shd w:val="clear" w:color="auto" w:fill="auto"/>
            <w:noWrap/>
            <w:vAlign w:val="center"/>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-Tờ khai báo cáo thuế, báo cáo tình hình sử dụng hóa đơn, tờ khai tạm tính thuế tncn, Bộ BCTC cuối năm…các loại báo cáo đã nộp</w:t>
            </w:r>
          </w:p>
        </w:tc>
      </w:tr>
      <w:tr w:rsidR="007E5AA1" w:rsidRPr="007E5AA1" w:rsidTr="007E5AA1">
        <w:trPr>
          <w:trHeight w:val="315"/>
        </w:trPr>
        <w:tc>
          <w:tcPr>
            <w:tcW w:w="15820" w:type="dxa"/>
            <w:gridSpan w:val="7"/>
            <w:tcBorders>
              <w:top w:val="nil"/>
              <w:left w:val="nil"/>
              <w:bottom w:val="nil"/>
              <w:right w:val="nil"/>
            </w:tcBorders>
            <w:shd w:val="clear" w:color="auto" w:fill="auto"/>
            <w:noWrap/>
            <w:vAlign w:val="center"/>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-Phụ lục bảng kê mua vào, bán ra kẹp cùng tờ khai thuế GTGT tải trên mạng về in ra theo từng quý</w:t>
            </w: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r>
      <w:tr w:rsidR="007E5AA1" w:rsidRPr="007E5AA1" w:rsidTr="007E5AA1">
        <w:trPr>
          <w:trHeight w:val="825"/>
        </w:trPr>
        <w:tc>
          <w:tcPr>
            <w:tcW w:w="16780" w:type="dxa"/>
            <w:gridSpan w:val="9"/>
            <w:tcBorders>
              <w:top w:val="nil"/>
              <w:left w:val="nil"/>
              <w:bottom w:val="nil"/>
              <w:right w:val="nil"/>
            </w:tcBorders>
            <w:shd w:val="clear" w:color="000000" w:fill="FFFFFF"/>
            <w:vAlign w:val="center"/>
            <w:hideMark/>
          </w:tcPr>
          <w:p w:rsid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 xml:space="preserve">- Các tờ khai : Tờ khai lệ phí môn bài, Đăng ký tài khoản ngân hàng mẫu 08, mẫu 06 đăng ký khấu trừ thuế của các năm cũ và hiện nay từ ngày 05/11/2017 thi mẫu </w:t>
            </w:r>
          </w:p>
          <w:p w:rsidR="007E5AA1" w:rsidRP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06 đã bị bãi bỏ không phải nộp nữa thì k cần và mẫu 08 đã thay bằng</w:t>
            </w:r>
          </w:p>
          <w:p w:rsidR="007E5AA1" w:rsidRP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 xml:space="preserve"> phụ lục II-1 nộp lên sở KHĐT</w:t>
            </w:r>
          </w:p>
        </w:tc>
      </w:tr>
      <w:tr w:rsidR="007E5AA1" w:rsidRPr="007E5AA1" w:rsidTr="007E5AA1">
        <w:trPr>
          <w:trHeight w:val="315"/>
        </w:trPr>
        <w:tc>
          <w:tcPr>
            <w:tcW w:w="16780" w:type="dxa"/>
            <w:gridSpan w:val="9"/>
            <w:tcBorders>
              <w:top w:val="nil"/>
              <w:left w:val="nil"/>
              <w:bottom w:val="nil"/>
              <w:right w:val="nil"/>
            </w:tcBorders>
            <w:shd w:val="clear" w:color="000000" w:fill="FFFFFF"/>
            <w:vAlign w:val="center"/>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 Các giấy nộp tiền thuế vào NSNN: Thuế môn bài, Thuế GTGT, thuế TNDN…. Các khoản tiền phạt nếu có</w:t>
            </w:r>
          </w:p>
        </w:tc>
      </w:tr>
      <w:tr w:rsidR="007E5AA1" w:rsidRPr="007E5AA1" w:rsidTr="007E5AA1">
        <w:trPr>
          <w:trHeight w:val="315"/>
        </w:trPr>
        <w:tc>
          <w:tcPr>
            <w:tcW w:w="12940" w:type="dxa"/>
            <w:tcBorders>
              <w:top w:val="nil"/>
              <w:left w:val="nil"/>
              <w:bottom w:val="nil"/>
              <w:right w:val="nil"/>
            </w:tcBorders>
            <w:shd w:val="clear" w:color="000000" w:fill="FFC000"/>
            <w:noWrap/>
            <w:vAlign w:val="center"/>
            <w:hideMark/>
          </w:tcPr>
          <w:p w:rsidR="007E5AA1" w:rsidRPr="007E5AA1" w:rsidRDefault="007E5AA1" w:rsidP="007E5AA1">
            <w:pPr>
              <w:spacing w:after="0" w:line="240" w:lineRule="auto"/>
              <w:contextualSpacing w:val="0"/>
              <w:jc w:val="left"/>
              <w:rPr>
                <w:rFonts w:eastAsia="Times New Roman" w:cs="Times New Roman"/>
                <w:b/>
                <w:bCs/>
                <w:color w:val="333333"/>
                <w:sz w:val="24"/>
                <w:szCs w:val="24"/>
              </w:rPr>
            </w:pPr>
            <w:r w:rsidRPr="007E5AA1">
              <w:rPr>
                <w:rFonts w:eastAsia="Times New Roman" w:cs="Times New Roman"/>
                <w:b/>
                <w:bCs/>
                <w:color w:val="333333"/>
                <w:sz w:val="24"/>
                <w:szCs w:val="24"/>
              </w:rPr>
              <w:t>2.IN SỔ</w:t>
            </w:r>
          </w:p>
        </w:tc>
        <w:tc>
          <w:tcPr>
            <w:tcW w:w="480" w:type="dxa"/>
            <w:tcBorders>
              <w:top w:val="nil"/>
              <w:left w:val="nil"/>
              <w:bottom w:val="nil"/>
              <w:right w:val="nil"/>
            </w:tcBorders>
            <w:shd w:val="clear" w:color="000000" w:fill="FFC000"/>
            <w:noWrap/>
            <w:vAlign w:val="bottom"/>
            <w:hideMark/>
          </w:tcPr>
          <w:p w:rsidR="007E5AA1" w:rsidRPr="007E5AA1" w:rsidRDefault="007E5AA1" w:rsidP="007E5AA1">
            <w:pPr>
              <w:spacing w:after="0" w:line="240" w:lineRule="auto"/>
              <w:contextualSpacing w:val="0"/>
              <w:jc w:val="left"/>
              <w:rPr>
                <w:rFonts w:ascii="Calibri" w:eastAsia="Times New Roman" w:hAnsi="Calibri" w:cs="Calibri"/>
                <w:color w:val="000000"/>
                <w:sz w:val="24"/>
                <w:szCs w:val="24"/>
              </w:rPr>
            </w:pPr>
            <w:r w:rsidRPr="007E5AA1">
              <w:rPr>
                <w:rFonts w:ascii="Calibri" w:eastAsia="Times New Roman" w:hAnsi="Calibri" w:cs="Calibri"/>
                <w:color w:val="000000"/>
                <w:sz w:val="24"/>
                <w:szCs w:val="24"/>
              </w:rPr>
              <w:t> </w:t>
            </w: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ascii="Calibri" w:eastAsia="Times New Roman" w:hAnsi="Calibri" w:cs="Calibri"/>
                <w:color w:val="000000"/>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r>
      <w:tr w:rsidR="007E5AA1" w:rsidRPr="007E5AA1" w:rsidTr="007E5AA1">
        <w:trPr>
          <w:trHeight w:val="315"/>
        </w:trPr>
        <w:tc>
          <w:tcPr>
            <w:tcW w:w="13900" w:type="dxa"/>
            <w:gridSpan w:val="3"/>
            <w:tcBorders>
              <w:top w:val="nil"/>
              <w:left w:val="nil"/>
              <w:bottom w:val="nil"/>
              <w:right w:val="nil"/>
            </w:tcBorders>
            <w:shd w:val="clear" w:color="auto" w:fill="auto"/>
            <w:noWrap/>
            <w:vAlign w:val="center"/>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Sổ in theo hình thức NKC</w:t>
            </w: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r>
      <w:tr w:rsidR="007E5AA1" w:rsidRPr="007E5AA1" w:rsidTr="007E5AA1">
        <w:trPr>
          <w:trHeight w:val="315"/>
        </w:trPr>
        <w:tc>
          <w:tcPr>
            <w:tcW w:w="13420" w:type="dxa"/>
            <w:gridSpan w:val="2"/>
            <w:tcBorders>
              <w:top w:val="nil"/>
              <w:left w:val="nil"/>
              <w:bottom w:val="nil"/>
              <w:right w:val="nil"/>
            </w:tcBorders>
            <w:shd w:val="clear" w:color="auto" w:fill="auto"/>
            <w:noWrap/>
            <w:vAlign w:val="center"/>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 Sổ nhật ký chung</w:t>
            </w: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r>
      <w:tr w:rsidR="007E5AA1" w:rsidRPr="007E5AA1" w:rsidTr="007E5AA1">
        <w:trPr>
          <w:trHeight w:val="315"/>
        </w:trPr>
        <w:tc>
          <w:tcPr>
            <w:tcW w:w="13420" w:type="dxa"/>
            <w:gridSpan w:val="2"/>
            <w:tcBorders>
              <w:top w:val="nil"/>
              <w:left w:val="nil"/>
              <w:bottom w:val="nil"/>
              <w:right w:val="nil"/>
            </w:tcBorders>
            <w:shd w:val="clear" w:color="auto" w:fill="auto"/>
            <w:noWrap/>
            <w:vAlign w:val="center"/>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-Sổ quỹ tiền mặt</w:t>
            </w: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r>
      <w:tr w:rsidR="007E5AA1" w:rsidRPr="007E5AA1" w:rsidTr="007E5AA1">
        <w:trPr>
          <w:trHeight w:val="315"/>
        </w:trPr>
        <w:tc>
          <w:tcPr>
            <w:tcW w:w="13900" w:type="dxa"/>
            <w:gridSpan w:val="3"/>
            <w:tcBorders>
              <w:top w:val="nil"/>
              <w:left w:val="nil"/>
              <w:bottom w:val="nil"/>
              <w:right w:val="nil"/>
            </w:tcBorders>
            <w:shd w:val="clear" w:color="auto" w:fill="auto"/>
            <w:noWrap/>
            <w:vAlign w:val="center"/>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-Sổ tiền gửi ngân hàng</w:t>
            </w: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r>
      <w:tr w:rsidR="007E5AA1" w:rsidRPr="007E5AA1" w:rsidTr="007E5AA1">
        <w:trPr>
          <w:trHeight w:val="315"/>
        </w:trPr>
        <w:tc>
          <w:tcPr>
            <w:tcW w:w="15820" w:type="dxa"/>
            <w:gridSpan w:val="7"/>
            <w:tcBorders>
              <w:top w:val="nil"/>
              <w:left w:val="nil"/>
              <w:bottom w:val="nil"/>
              <w:right w:val="nil"/>
            </w:tcBorders>
            <w:shd w:val="clear" w:color="auto" w:fill="auto"/>
            <w:noWrap/>
            <w:vAlign w:val="center"/>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 Sổ cái các tài khoản:  In các tài khoản mẹ cấp 1 trên bảng cân đối số phát sinh</w:t>
            </w: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r>
      <w:tr w:rsidR="007E5AA1" w:rsidRPr="007E5AA1" w:rsidTr="007E5AA1">
        <w:trPr>
          <w:trHeight w:val="555"/>
        </w:trPr>
        <w:tc>
          <w:tcPr>
            <w:tcW w:w="16780" w:type="dxa"/>
            <w:gridSpan w:val="9"/>
            <w:tcBorders>
              <w:top w:val="nil"/>
              <w:left w:val="nil"/>
              <w:bottom w:val="nil"/>
              <w:right w:val="nil"/>
            </w:tcBorders>
            <w:shd w:val="clear" w:color="auto" w:fill="auto"/>
            <w:vAlign w:val="center"/>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 Sổ chi tiết các tài khoản: In các tài khoản con thuộc tài khoản cấp 2 hoặc 3 (Nếu1 tài khoản vừa có tk cấp 2 và 3 thì in tk cấp 3) trên bảng cân đối số phát sinh</w:t>
            </w:r>
          </w:p>
        </w:tc>
      </w:tr>
      <w:tr w:rsidR="007E5AA1" w:rsidRPr="007E5AA1" w:rsidTr="007E5AA1">
        <w:trPr>
          <w:trHeight w:val="315"/>
        </w:trPr>
        <w:tc>
          <w:tcPr>
            <w:tcW w:w="14380" w:type="dxa"/>
            <w:gridSpan w:val="4"/>
            <w:tcBorders>
              <w:top w:val="nil"/>
              <w:left w:val="nil"/>
              <w:bottom w:val="nil"/>
              <w:right w:val="nil"/>
            </w:tcBorders>
            <w:shd w:val="clear" w:color="auto" w:fill="auto"/>
            <w:noWrap/>
            <w:vAlign w:val="center"/>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-Sổ  tổng hợp công nợ phải thu, phải trả</w:t>
            </w: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r>
      <w:tr w:rsidR="007E5AA1" w:rsidRPr="007E5AA1" w:rsidTr="007E5AA1">
        <w:trPr>
          <w:trHeight w:val="315"/>
        </w:trPr>
        <w:tc>
          <w:tcPr>
            <w:tcW w:w="14380" w:type="dxa"/>
            <w:gridSpan w:val="4"/>
            <w:tcBorders>
              <w:top w:val="nil"/>
              <w:left w:val="nil"/>
              <w:bottom w:val="nil"/>
              <w:right w:val="nil"/>
            </w:tcBorders>
            <w:shd w:val="clear" w:color="auto" w:fill="auto"/>
            <w:noWrap/>
            <w:vAlign w:val="center"/>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-Sổ chi tiết công nợ phải thu, phải trả</w:t>
            </w: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r>
      <w:tr w:rsidR="007E5AA1" w:rsidRPr="007E5AA1" w:rsidTr="007E5AA1">
        <w:trPr>
          <w:trHeight w:val="315"/>
        </w:trPr>
        <w:tc>
          <w:tcPr>
            <w:tcW w:w="13900" w:type="dxa"/>
            <w:gridSpan w:val="3"/>
            <w:tcBorders>
              <w:top w:val="nil"/>
              <w:left w:val="nil"/>
              <w:bottom w:val="nil"/>
              <w:right w:val="nil"/>
            </w:tcBorders>
            <w:shd w:val="clear" w:color="auto" w:fill="auto"/>
            <w:noWrap/>
            <w:vAlign w:val="center"/>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 Biên bản đối chiếu công nợ</w:t>
            </w: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r>
      <w:tr w:rsidR="007E5AA1" w:rsidRPr="007E5AA1" w:rsidTr="007E5AA1">
        <w:trPr>
          <w:trHeight w:val="315"/>
        </w:trPr>
        <w:tc>
          <w:tcPr>
            <w:tcW w:w="13900" w:type="dxa"/>
            <w:gridSpan w:val="3"/>
            <w:tcBorders>
              <w:top w:val="nil"/>
              <w:left w:val="nil"/>
              <w:bottom w:val="nil"/>
              <w:right w:val="nil"/>
            </w:tcBorders>
            <w:shd w:val="clear" w:color="auto" w:fill="auto"/>
            <w:noWrap/>
            <w:vAlign w:val="center"/>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-Sổ nhật ký mua hàng</w:t>
            </w: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r>
      <w:tr w:rsidR="007E5AA1" w:rsidRPr="007E5AA1" w:rsidTr="007E5AA1">
        <w:trPr>
          <w:trHeight w:val="315"/>
        </w:trPr>
        <w:tc>
          <w:tcPr>
            <w:tcW w:w="13900" w:type="dxa"/>
            <w:gridSpan w:val="3"/>
            <w:tcBorders>
              <w:top w:val="nil"/>
              <w:left w:val="nil"/>
              <w:bottom w:val="nil"/>
              <w:right w:val="nil"/>
            </w:tcBorders>
            <w:shd w:val="clear" w:color="auto" w:fill="auto"/>
            <w:noWrap/>
            <w:vAlign w:val="center"/>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-Sổ nhật ký bán hàng</w:t>
            </w: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r>
      <w:tr w:rsidR="007E5AA1" w:rsidRPr="007E5AA1" w:rsidTr="007E5AA1">
        <w:trPr>
          <w:trHeight w:val="315"/>
        </w:trPr>
        <w:tc>
          <w:tcPr>
            <w:tcW w:w="13420" w:type="dxa"/>
            <w:gridSpan w:val="2"/>
            <w:tcBorders>
              <w:top w:val="nil"/>
              <w:left w:val="nil"/>
              <w:bottom w:val="nil"/>
              <w:right w:val="nil"/>
            </w:tcBorders>
            <w:shd w:val="clear" w:color="auto" w:fill="auto"/>
            <w:noWrap/>
            <w:vAlign w:val="center"/>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-Sổ chi tiết bán hàng</w:t>
            </w: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r>
      <w:tr w:rsidR="007E5AA1" w:rsidRPr="007E5AA1" w:rsidTr="007E5AA1">
        <w:trPr>
          <w:trHeight w:val="315"/>
        </w:trPr>
        <w:tc>
          <w:tcPr>
            <w:tcW w:w="14860" w:type="dxa"/>
            <w:gridSpan w:val="5"/>
            <w:tcBorders>
              <w:top w:val="nil"/>
              <w:left w:val="nil"/>
              <w:bottom w:val="nil"/>
              <w:right w:val="nil"/>
            </w:tcBorders>
            <w:shd w:val="clear" w:color="auto" w:fill="auto"/>
            <w:noWrap/>
            <w:vAlign w:val="center"/>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-Sổ chi phí sản xuất kinh doanh dành cho DNSX</w:t>
            </w: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r>
      <w:tr w:rsidR="007E5AA1" w:rsidRPr="007E5AA1" w:rsidTr="007E5AA1">
        <w:trPr>
          <w:trHeight w:val="315"/>
        </w:trPr>
        <w:tc>
          <w:tcPr>
            <w:tcW w:w="12940" w:type="dxa"/>
            <w:tcBorders>
              <w:top w:val="nil"/>
              <w:left w:val="nil"/>
              <w:bottom w:val="nil"/>
              <w:right w:val="nil"/>
            </w:tcBorders>
            <w:shd w:val="clear" w:color="000000" w:fill="FFFFFF"/>
            <w:noWrap/>
            <w:vAlign w:val="center"/>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 xml:space="preserve">- Sổ theo dõi TSCĐ, CCDC ( Với loại CCDC này các bạn nên photo HĐ gốc kẹp cùng sổ theo dõi tương ứng để dễ kiểm soát </w:t>
            </w: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r>
      <w:tr w:rsidR="007E5AA1" w:rsidRPr="007E5AA1" w:rsidTr="007E5AA1">
        <w:trPr>
          <w:trHeight w:val="315"/>
        </w:trPr>
        <w:tc>
          <w:tcPr>
            <w:tcW w:w="12940" w:type="dxa"/>
            <w:tcBorders>
              <w:top w:val="nil"/>
              <w:left w:val="nil"/>
              <w:bottom w:val="nil"/>
              <w:right w:val="nil"/>
            </w:tcBorders>
            <w:shd w:val="clear" w:color="000000" w:fill="FFFFFF"/>
            <w:noWrap/>
            <w:vAlign w:val="center"/>
            <w:hideMark/>
          </w:tcPr>
          <w:p w:rsidR="007E5AA1" w:rsidRPr="007E5AA1" w:rsidRDefault="007E5AA1" w:rsidP="007E5AA1">
            <w:pPr>
              <w:spacing w:after="0" w:line="240" w:lineRule="auto"/>
              <w:contextualSpacing w:val="0"/>
              <w:jc w:val="left"/>
              <w:rPr>
                <w:rFonts w:eastAsia="Times New Roman" w:cs="Times New Roman"/>
                <w:i/>
                <w:iCs/>
                <w:color w:val="333333"/>
                <w:sz w:val="24"/>
                <w:szCs w:val="24"/>
              </w:rPr>
            </w:pPr>
            <w:r w:rsidRPr="007E5AA1">
              <w:rPr>
                <w:rFonts w:eastAsia="Times New Roman" w:cs="Times New Roman"/>
                <w:i/>
                <w:iCs/>
                <w:color w:val="333333"/>
                <w:sz w:val="24"/>
                <w:szCs w:val="24"/>
              </w:rPr>
              <w:t>VD: Hóa đơn photo mua TSCD kẹp cùng với sổ theo dõi TSCD , HĐ mua CCDC kẹp cùng sổ theo dõi phân bổ CCDC)</w:t>
            </w: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i/>
                <w:iCs/>
                <w:color w:val="333333"/>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r>
      <w:tr w:rsidR="007E5AA1" w:rsidRPr="007E5AA1" w:rsidTr="007E5AA1">
        <w:trPr>
          <w:trHeight w:val="315"/>
        </w:trPr>
        <w:tc>
          <w:tcPr>
            <w:tcW w:w="12940" w:type="dxa"/>
            <w:tcBorders>
              <w:top w:val="nil"/>
              <w:left w:val="nil"/>
              <w:bottom w:val="nil"/>
              <w:right w:val="nil"/>
            </w:tcBorders>
            <w:shd w:val="clear" w:color="000000" w:fill="FFFFFF"/>
            <w:noWrap/>
            <w:vAlign w:val="center"/>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 Sổ lương: Bảng Lương, bảng chấm công, phiếu chi lương in và kẹp theo từng tháng thành 1 sổ lương năm</w:t>
            </w: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r>
      <w:tr w:rsidR="007E5AA1" w:rsidRPr="007E5AA1" w:rsidTr="007E5AA1">
        <w:trPr>
          <w:trHeight w:val="315"/>
        </w:trPr>
        <w:tc>
          <w:tcPr>
            <w:tcW w:w="12940" w:type="dxa"/>
            <w:tcBorders>
              <w:top w:val="nil"/>
              <w:left w:val="nil"/>
              <w:bottom w:val="nil"/>
              <w:right w:val="nil"/>
            </w:tcBorders>
            <w:shd w:val="clear" w:color="000000" w:fill="FFFFFF"/>
            <w:noWrap/>
            <w:vAlign w:val="center"/>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 Phiếu nhập - xuất, Thu - chi</w:t>
            </w: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r>
      <w:tr w:rsidR="007E5AA1" w:rsidRPr="007E5AA1" w:rsidTr="007E5AA1">
        <w:trPr>
          <w:trHeight w:val="315"/>
        </w:trPr>
        <w:tc>
          <w:tcPr>
            <w:tcW w:w="12940" w:type="dxa"/>
            <w:tcBorders>
              <w:top w:val="nil"/>
              <w:left w:val="nil"/>
              <w:bottom w:val="nil"/>
              <w:right w:val="nil"/>
            </w:tcBorders>
            <w:shd w:val="clear" w:color="000000" w:fill="FFFFFF"/>
            <w:noWrap/>
            <w:vAlign w:val="center"/>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 Thẻ tính giá thành cho DN sản xuất</w:t>
            </w: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r>
      <w:tr w:rsidR="007E5AA1" w:rsidRPr="007E5AA1" w:rsidTr="007E5AA1">
        <w:trPr>
          <w:trHeight w:val="315"/>
        </w:trPr>
        <w:tc>
          <w:tcPr>
            <w:tcW w:w="12940" w:type="dxa"/>
            <w:tcBorders>
              <w:top w:val="nil"/>
              <w:left w:val="nil"/>
              <w:bottom w:val="nil"/>
              <w:right w:val="nil"/>
            </w:tcBorders>
            <w:shd w:val="clear" w:color="000000" w:fill="FFFFFF"/>
            <w:noWrap/>
            <w:vAlign w:val="center"/>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 Sổ chi tiết lãi lỗ theo công trình dành cho loại hình xây dựng</w:t>
            </w: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r>
      <w:tr w:rsidR="007E5AA1" w:rsidRPr="007E5AA1" w:rsidTr="007E5AA1">
        <w:trPr>
          <w:trHeight w:val="315"/>
        </w:trPr>
        <w:tc>
          <w:tcPr>
            <w:tcW w:w="13420" w:type="dxa"/>
            <w:gridSpan w:val="2"/>
            <w:tcBorders>
              <w:top w:val="nil"/>
              <w:left w:val="nil"/>
              <w:bottom w:val="nil"/>
              <w:right w:val="nil"/>
            </w:tcBorders>
            <w:shd w:val="clear" w:color="000000" w:fill="FF0000"/>
            <w:noWrap/>
            <w:vAlign w:val="center"/>
            <w:hideMark/>
          </w:tcPr>
          <w:p w:rsidR="007E5AA1" w:rsidRPr="007E5AA1" w:rsidRDefault="007E5AA1" w:rsidP="007E5AA1">
            <w:pPr>
              <w:spacing w:after="0" w:line="240" w:lineRule="auto"/>
              <w:contextualSpacing w:val="0"/>
              <w:jc w:val="left"/>
              <w:rPr>
                <w:rFonts w:eastAsia="Times New Roman" w:cs="Times New Roman"/>
                <w:b/>
                <w:bCs/>
                <w:color w:val="333333"/>
                <w:sz w:val="24"/>
                <w:szCs w:val="24"/>
              </w:rPr>
            </w:pPr>
            <w:r w:rsidRPr="007E5AA1">
              <w:rPr>
                <w:rFonts w:eastAsia="Times New Roman" w:cs="Times New Roman"/>
                <w:b/>
                <w:bCs/>
                <w:color w:val="333333"/>
                <w:sz w:val="24"/>
                <w:szCs w:val="24"/>
              </w:rPr>
              <w:lastRenderedPageBreak/>
              <w:t>3. LƯU Ý</w:t>
            </w: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b/>
                <w:bCs/>
                <w:color w:val="333333"/>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sz w:val="24"/>
                <w:szCs w:val="24"/>
              </w:rPr>
            </w:pPr>
          </w:p>
        </w:tc>
      </w:tr>
      <w:tr w:rsidR="007E5AA1" w:rsidRPr="007E5AA1" w:rsidTr="007E5AA1">
        <w:trPr>
          <w:trHeight w:val="315"/>
        </w:trPr>
        <w:tc>
          <w:tcPr>
            <w:tcW w:w="16300" w:type="dxa"/>
            <w:gridSpan w:val="8"/>
            <w:tcBorders>
              <w:top w:val="nil"/>
              <w:left w:val="nil"/>
              <w:bottom w:val="nil"/>
              <w:right w:val="nil"/>
            </w:tcBorders>
            <w:shd w:val="clear" w:color="auto" w:fill="auto"/>
            <w:noWrap/>
            <w:vAlign w:val="center"/>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 Hóa đơn đầu ra, đầu vào nên xếp theo thứ tự bảng kê mua vào, bán ra đã khai trên tờ khai hàng tháng/ hàng quý.</w:t>
            </w: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p>
        </w:tc>
      </w:tr>
      <w:tr w:rsidR="007E5AA1" w:rsidRPr="007E5AA1" w:rsidTr="007E5AA1">
        <w:trPr>
          <w:trHeight w:val="1155"/>
        </w:trPr>
        <w:tc>
          <w:tcPr>
            <w:tcW w:w="16780" w:type="dxa"/>
            <w:gridSpan w:val="9"/>
            <w:tcBorders>
              <w:top w:val="nil"/>
              <w:left w:val="nil"/>
              <w:bottom w:val="nil"/>
              <w:right w:val="nil"/>
            </w:tcBorders>
            <w:shd w:val="clear" w:color="auto" w:fill="auto"/>
            <w:vAlign w:val="center"/>
            <w:hideMark/>
          </w:tcPr>
          <w:p w:rsid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-Khi tách hóa đơn mua vào nhớ lật mặt sau hóa đơn ghi chú số phiếu chi, phiếu nhập vào. Tiện nhất( nếu DN có máy photocopy) là dùng bảng photo hóa đơn kẹp</w:t>
            </w:r>
          </w:p>
          <w:p w:rsidR="007E5AA1" w:rsidRP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 xml:space="preserve"> vào phiếu chi, phiếu nhập, chứng từ ngân hàng. Bảng chính tách ra để xếp riêng</w:t>
            </w:r>
          </w:p>
          <w:p w:rsidR="007E5AA1" w:rsidRP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 xml:space="preserve"> theo tờ khai thuế. </w:t>
            </w:r>
          </w:p>
        </w:tc>
      </w:tr>
      <w:tr w:rsidR="007E5AA1" w:rsidRPr="007E5AA1" w:rsidTr="007E5AA1">
        <w:trPr>
          <w:trHeight w:val="315"/>
        </w:trPr>
        <w:tc>
          <w:tcPr>
            <w:tcW w:w="16300" w:type="dxa"/>
            <w:gridSpan w:val="8"/>
            <w:tcBorders>
              <w:top w:val="nil"/>
              <w:left w:val="nil"/>
              <w:bottom w:val="nil"/>
              <w:right w:val="nil"/>
            </w:tcBorders>
            <w:shd w:val="clear" w:color="auto" w:fill="auto"/>
            <w:noWrap/>
            <w:vAlign w:val="center"/>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-Khi lập phiếu thu chi, nhập, xuất trong phần nội dung ghi chú thu, chi, nhập xuất theo hóa đơn số mấy, ngày…</w:t>
            </w:r>
          </w:p>
        </w:tc>
        <w:tc>
          <w:tcPr>
            <w:tcW w:w="480" w:type="dxa"/>
            <w:tcBorders>
              <w:top w:val="nil"/>
              <w:left w:val="nil"/>
              <w:bottom w:val="nil"/>
              <w:right w:val="nil"/>
            </w:tcBorders>
            <w:shd w:val="clear" w:color="auto" w:fill="auto"/>
            <w:noWrap/>
            <w:vAlign w:val="bottom"/>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p>
        </w:tc>
      </w:tr>
      <w:tr w:rsidR="007E5AA1" w:rsidRPr="007E5AA1" w:rsidTr="007E5AA1">
        <w:trPr>
          <w:trHeight w:val="750"/>
        </w:trPr>
        <w:tc>
          <w:tcPr>
            <w:tcW w:w="16780" w:type="dxa"/>
            <w:gridSpan w:val="9"/>
            <w:tcBorders>
              <w:top w:val="nil"/>
              <w:left w:val="nil"/>
              <w:bottom w:val="nil"/>
              <w:right w:val="nil"/>
            </w:tcBorders>
            <w:shd w:val="clear" w:color="auto" w:fill="auto"/>
            <w:vAlign w:val="center"/>
            <w:hideMark/>
          </w:tcPr>
          <w:p w:rsidR="007E5AA1" w:rsidRPr="007E5AA1" w:rsidRDefault="007E5AA1" w:rsidP="007E5AA1">
            <w:pPr>
              <w:spacing w:after="0" w:line="240" w:lineRule="auto"/>
              <w:contextualSpacing w:val="0"/>
              <w:jc w:val="left"/>
              <w:rPr>
                <w:rFonts w:eastAsia="Times New Roman" w:cs="Times New Roman"/>
                <w:color w:val="333333"/>
                <w:sz w:val="24"/>
                <w:szCs w:val="24"/>
              </w:rPr>
            </w:pPr>
            <w:r w:rsidRPr="007E5AA1">
              <w:rPr>
                <w:rFonts w:eastAsia="Times New Roman" w:cs="Times New Roman"/>
                <w:color w:val="333333"/>
                <w:sz w:val="24"/>
                <w:szCs w:val="24"/>
              </w:rPr>
              <w:t>-Lập bảng kê hóa đơn mua vào trên 20 triệu bằng cách trích lọc từ bảng kê mua vào và thêm cột ngày thanh toán và chứng từ thanh toán không dùng tiền mặt. </w:t>
            </w:r>
          </w:p>
        </w:tc>
      </w:tr>
    </w:tbl>
    <w:p w:rsidR="008528E9" w:rsidRPr="007E5AA1" w:rsidRDefault="008528E9">
      <w:pPr>
        <w:rPr>
          <w:sz w:val="24"/>
          <w:szCs w:val="24"/>
        </w:rPr>
      </w:pPr>
    </w:p>
    <w:sectPr w:rsidR="008528E9" w:rsidRPr="007E5AA1" w:rsidSect="007E5AA1">
      <w:pgSz w:w="16840" w:h="11907" w:orient="landscape"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A1"/>
    <w:rsid w:val="001D53EA"/>
    <w:rsid w:val="007E5AA1"/>
    <w:rsid w:val="0085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AF43F"/>
  <w15:chartTrackingRefBased/>
  <w15:docId w15:val="{B97EF0CA-1CF8-4F09-A702-D2F3DA2F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3EA"/>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1D53EA"/>
    <w:pPr>
      <w:keepNext/>
      <w:keepLines/>
      <w:spacing w:before="24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1D53EA"/>
    <w:pPr>
      <w:keepNext/>
      <w:keepLines/>
      <w:spacing w:before="24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1D53EA"/>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3EA"/>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1D53E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D53EA"/>
    <w:rPr>
      <w:rFonts w:ascii="Times New Roman" w:eastAsiaTheme="majorEastAsia" w:hAnsi="Times New Roman" w:cstheme="majorBidi"/>
      <w:b/>
      <w: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2023-02-10T04:42:00Z</dcterms:created>
  <dcterms:modified xsi:type="dcterms:W3CDTF">2023-02-10T04:46:00Z</dcterms:modified>
</cp:coreProperties>
</file>