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CA2" w:rsidRPr="005A5CA2" w:rsidRDefault="005A5CA2" w:rsidP="005A5CA2">
      <w:pPr>
        <w:spacing w:line="360" w:lineRule="auto"/>
        <w:jc w:val="center"/>
        <w:rPr>
          <w:rFonts w:ascii="Times New Roman" w:hAnsi="Times New Roman" w:cs="Times New Roman"/>
          <w:b/>
          <w:color w:val="1D2129"/>
          <w:sz w:val="32"/>
          <w:szCs w:val="32"/>
        </w:rPr>
      </w:pPr>
      <w:r w:rsidRPr="005A5CA2">
        <w:rPr>
          <w:rFonts w:ascii="Times New Roman" w:hAnsi="Times New Roman" w:cs="Times New Roman"/>
          <w:b/>
          <w:color w:val="1D2129"/>
          <w:sz w:val="32"/>
          <w:szCs w:val="32"/>
          <w:shd w:val="clear" w:color="auto" w:fill="FFFFFF"/>
        </w:rPr>
        <w:t>NGUYÊN LÝ KẾ TOÁN</w:t>
      </w:r>
    </w:p>
    <w:p w:rsidR="005A5CA2" w:rsidRPr="005A5CA2" w:rsidRDefault="005A5CA2" w:rsidP="005A5CA2">
      <w:pPr>
        <w:spacing w:line="360" w:lineRule="auto"/>
        <w:jc w:val="center"/>
        <w:rPr>
          <w:rFonts w:ascii="Times New Roman" w:hAnsi="Times New Roman" w:cs="Times New Roman"/>
          <w:b/>
          <w:color w:val="1D2129"/>
          <w:sz w:val="32"/>
          <w:szCs w:val="32"/>
        </w:rPr>
      </w:pPr>
      <w:r w:rsidRPr="005A5CA2">
        <w:rPr>
          <w:rFonts w:ascii="Times New Roman" w:hAnsi="Times New Roman" w:cs="Times New Roman"/>
          <w:b/>
          <w:color w:val="1D2129"/>
          <w:sz w:val="32"/>
          <w:szCs w:val="32"/>
          <w:shd w:val="clear" w:color="auto" w:fill="FFFFFF"/>
        </w:rPr>
        <w:t>NGUYÊN TẮC KẾ TOÁN NỢ PHẢI TRẢ</w:t>
      </w:r>
    </w:p>
    <w:p w:rsidR="005A5CA2" w:rsidRDefault="005A5CA2" w:rsidP="005A5CA2">
      <w:pPr>
        <w:spacing w:line="360" w:lineRule="auto"/>
        <w:jc w:val="both"/>
        <w:rPr>
          <w:rFonts w:ascii="Times New Roman" w:hAnsi="Times New Roman" w:cs="Times New Roman"/>
          <w:color w:val="1D2129"/>
          <w:sz w:val="26"/>
          <w:szCs w:val="26"/>
        </w:rPr>
      </w:pPr>
      <w:r w:rsidRPr="005A5CA2">
        <w:rPr>
          <w:rFonts w:ascii="Times New Roman" w:hAnsi="Times New Roman" w:cs="Times New Roman"/>
          <w:color w:val="1D2129"/>
          <w:sz w:val="26"/>
          <w:szCs w:val="26"/>
          <w:shd w:val="clear" w:color="auto" w:fill="FFFFFF"/>
        </w:rPr>
        <w:t>1. Các khoản nợ phải trả được theo dõi chi tiết theo kì hạn phải trả, đối tượng phải trả, loại nguyên tệ phải trả và các yếu tố khác theo nhu cầu quản lý của doanh nghiệp</w:t>
      </w:r>
      <w:r w:rsidRPr="005A5CA2">
        <w:rPr>
          <w:rFonts w:ascii="Times New Roman" w:hAnsi="Times New Roman" w:cs="Times New Roman"/>
          <w:color w:val="1D2129"/>
          <w:sz w:val="26"/>
          <w:szCs w:val="26"/>
        </w:rPr>
        <w:br/>
      </w:r>
      <w:r w:rsidRPr="005A5CA2">
        <w:rPr>
          <w:rFonts w:ascii="Times New Roman" w:hAnsi="Times New Roman" w:cs="Times New Roman"/>
          <w:color w:val="1D2129"/>
          <w:sz w:val="26"/>
          <w:szCs w:val="26"/>
          <w:shd w:val="clear" w:color="auto" w:fill="FFFFFF"/>
        </w:rPr>
        <w:t>2. Việc phân loại các khoản phải trả là phải trả người bán, phải trả nội bộ</w:t>
      </w:r>
      <w:bookmarkStart w:id="0" w:name="_GoBack"/>
      <w:bookmarkEnd w:id="0"/>
      <w:r w:rsidRPr="005A5CA2">
        <w:rPr>
          <w:rFonts w:ascii="Times New Roman" w:hAnsi="Times New Roman" w:cs="Times New Roman"/>
          <w:color w:val="1D2129"/>
          <w:sz w:val="26"/>
          <w:szCs w:val="26"/>
          <w:shd w:val="clear" w:color="auto" w:fill="FFFFFF"/>
        </w:rPr>
        <w:t>, phải trả trước phải được thực hiện theo nguyên tắc</w:t>
      </w:r>
    </w:p>
    <w:p w:rsidR="005A5CA2" w:rsidRDefault="005A5CA2" w:rsidP="005A5CA2">
      <w:pPr>
        <w:spacing w:line="360" w:lineRule="auto"/>
        <w:jc w:val="both"/>
        <w:rPr>
          <w:rFonts w:ascii="Times New Roman" w:hAnsi="Times New Roman" w:cs="Times New Roman"/>
          <w:color w:val="1D2129"/>
          <w:sz w:val="26"/>
          <w:szCs w:val="26"/>
        </w:rPr>
      </w:pPr>
      <w:r w:rsidRPr="005A5CA2">
        <w:rPr>
          <w:rFonts w:ascii="Times New Roman" w:hAnsi="Times New Roman" w:cs="Times New Roman"/>
          <w:color w:val="1D2129"/>
          <w:sz w:val="26"/>
          <w:szCs w:val="26"/>
          <w:shd w:val="clear" w:color="auto" w:fill="FFFFFF"/>
        </w:rPr>
        <w:t xml:space="preserve">a) Phải trả người bán gồm các khoản phải trả mang tính chất thương mại phát sinh từ giao dịch mua hàng hoá, dịch </w:t>
      </w:r>
      <w:proofErr w:type="gramStart"/>
      <w:r w:rsidRPr="005A5CA2">
        <w:rPr>
          <w:rFonts w:ascii="Times New Roman" w:hAnsi="Times New Roman" w:cs="Times New Roman"/>
          <w:color w:val="1D2129"/>
          <w:sz w:val="26"/>
          <w:szCs w:val="26"/>
          <w:shd w:val="clear" w:color="auto" w:fill="FFFFFF"/>
        </w:rPr>
        <w:t>vụ ,</w:t>
      </w:r>
      <w:proofErr w:type="gramEnd"/>
      <w:r w:rsidRPr="005A5CA2">
        <w:rPr>
          <w:rFonts w:ascii="Times New Roman" w:hAnsi="Times New Roman" w:cs="Times New Roman"/>
          <w:color w:val="1D2129"/>
          <w:sz w:val="26"/>
          <w:szCs w:val="26"/>
          <w:shd w:val="clear" w:color="auto" w:fill="FFFFFF"/>
        </w:rPr>
        <w:t xml:space="preserve"> tài sản và người bán ( là đơn vị độc lập với người mua, gồm các khoản phải trả giữa công ty mẹ và công ty con , công ty liên doanh ,liên kết ) . Khoản phải trả này gồm cả các khoản phải trả nhập khẩu thông qua người nhận ủy thác </w:t>
      </w:r>
      <w:proofErr w:type="gramStart"/>
      <w:r w:rsidRPr="005A5CA2">
        <w:rPr>
          <w:rFonts w:ascii="Times New Roman" w:hAnsi="Times New Roman" w:cs="Times New Roman"/>
          <w:color w:val="1D2129"/>
          <w:sz w:val="26"/>
          <w:szCs w:val="26"/>
          <w:shd w:val="clear" w:color="auto" w:fill="FFFFFF"/>
        </w:rPr>
        <w:t>( trong</w:t>
      </w:r>
      <w:proofErr w:type="gramEnd"/>
      <w:r w:rsidRPr="005A5CA2">
        <w:rPr>
          <w:rFonts w:ascii="Times New Roman" w:hAnsi="Times New Roman" w:cs="Times New Roman"/>
          <w:color w:val="1D2129"/>
          <w:sz w:val="26"/>
          <w:szCs w:val="26"/>
          <w:shd w:val="clear" w:color="auto" w:fill="FFFFFF"/>
        </w:rPr>
        <w:t xml:space="preserve"> giao dịch nhập khẩu ủy thác )</w:t>
      </w:r>
    </w:p>
    <w:p w:rsidR="005A5CA2" w:rsidRDefault="005A5CA2" w:rsidP="005A5CA2">
      <w:pPr>
        <w:spacing w:line="360" w:lineRule="auto"/>
        <w:jc w:val="both"/>
        <w:rPr>
          <w:rFonts w:ascii="Times New Roman" w:hAnsi="Times New Roman" w:cs="Times New Roman"/>
          <w:color w:val="1D2129"/>
          <w:sz w:val="26"/>
          <w:szCs w:val="26"/>
        </w:rPr>
      </w:pPr>
      <w:r w:rsidRPr="005A5CA2">
        <w:rPr>
          <w:rFonts w:ascii="Times New Roman" w:hAnsi="Times New Roman" w:cs="Times New Roman"/>
          <w:color w:val="1D2129"/>
          <w:sz w:val="26"/>
          <w:szCs w:val="26"/>
          <w:shd w:val="clear" w:color="auto" w:fill="FFFFFF"/>
        </w:rPr>
        <w:t>b) Phải trả nội bộ gồm các khoản phải trả giữa đơn vị cấp trên và đơn vị cấp dưới trực thuộc không có tư cách pháp nhân hạch toán phụ thuộc</w:t>
      </w:r>
    </w:p>
    <w:p w:rsidR="005A5CA2" w:rsidRDefault="005A5CA2" w:rsidP="005A5CA2">
      <w:pPr>
        <w:spacing w:line="360" w:lineRule="auto"/>
        <w:jc w:val="both"/>
        <w:rPr>
          <w:rFonts w:ascii="Times New Roman" w:hAnsi="Times New Roman" w:cs="Times New Roman"/>
          <w:color w:val="1D2129"/>
          <w:sz w:val="26"/>
          <w:szCs w:val="26"/>
        </w:rPr>
      </w:pPr>
      <w:r w:rsidRPr="005A5CA2">
        <w:rPr>
          <w:rFonts w:ascii="Times New Roman" w:hAnsi="Times New Roman" w:cs="Times New Roman"/>
          <w:color w:val="1D2129"/>
          <w:sz w:val="26"/>
          <w:szCs w:val="26"/>
          <w:shd w:val="clear" w:color="auto" w:fill="FFFFFF"/>
        </w:rPr>
        <w:t xml:space="preserve">c) Phải trả khác gồm các khoản phải trả không có tính thương </w:t>
      </w:r>
      <w:proofErr w:type="gramStart"/>
      <w:r w:rsidRPr="005A5CA2">
        <w:rPr>
          <w:rFonts w:ascii="Times New Roman" w:hAnsi="Times New Roman" w:cs="Times New Roman"/>
          <w:color w:val="1D2129"/>
          <w:sz w:val="26"/>
          <w:szCs w:val="26"/>
          <w:shd w:val="clear" w:color="auto" w:fill="FFFFFF"/>
        </w:rPr>
        <w:t>mại ,</w:t>
      </w:r>
      <w:proofErr w:type="gramEnd"/>
      <w:r w:rsidRPr="005A5CA2">
        <w:rPr>
          <w:rFonts w:ascii="Times New Roman" w:hAnsi="Times New Roman" w:cs="Times New Roman"/>
          <w:color w:val="1D2129"/>
          <w:sz w:val="26"/>
          <w:szCs w:val="26"/>
          <w:shd w:val="clear" w:color="auto" w:fill="FFFFFF"/>
        </w:rPr>
        <w:t xml:space="preserve"> không liên quan đến giao dịch mua bán, cung cấp hàng hoá dịch vụ</w:t>
      </w:r>
    </w:p>
    <w:p w:rsidR="005A5CA2" w:rsidRDefault="005A5CA2" w:rsidP="005A5CA2">
      <w:pPr>
        <w:spacing w:line="360" w:lineRule="auto"/>
        <w:jc w:val="both"/>
        <w:rPr>
          <w:rFonts w:ascii="Times New Roman" w:hAnsi="Times New Roman" w:cs="Times New Roman"/>
          <w:color w:val="1D2129"/>
          <w:sz w:val="26"/>
          <w:szCs w:val="26"/>
        </w:rPr>
      </w:pPr>
      <w:r w:rsidRPr="005A5CA2">
        <w:rPr>
          <w:rFonts w:ascii="Times New Roman" w:hAnsi="Times New Roman" w:cs="Times New Roman"/>
          <w:color w:val="1D2129"/>
          <w:sz w:val="26"/>
          <w:szCs w:val="26"/>
          <w:shd w:val="clear" w:color="auto" w:fill="FFFFFF"/>
        </w:rPr>
        <w:t xml:space="preserve">- Các khoản phải trả liên quan chi phí tài chính </w:t>
      </w:r>
      <w:proofErr w:type="gramStart"/>
      <w:r w:rsidRPr="005A5CA2">
        <w:rPr>
          <w:rFonts w:ascii="Times New Roman" w:hAnsi="Times New Roman" w:cs="Times New Roman"/>
          <w:color w:val="1D2129"/>
          <w:sz w:val="26"/>
          <w:szCs w:val="26"/>
          <w:shd w:val="clear" w:color="auto" w:fill="FFFFFF"/>
        </w:rPr>
        <w:t>như :</w:t>
      </w:r>
      <w:proofErr w:type="gramEnd"/>
      <w:r w:rsidRPr="005A5CA2">
        <w:rPr>
          <w:rFonts w:ascii="Times New Roman" w:hAnsi="Times New Roman" w:cs="Times New Roman"/>
          <w:color w:val="1D2129"/>
          <w:sz w:val="26"/>
          <w:szCs w:val="26"/>
          <w:shd w:val="clear" w:color="auto" w:fill="FFFFFF"/>
        </w:rPr>
        <w:t xml:space="preserve"> khoản trả về lãi vay , cổ tức và lợi nhuận phải trả, chi phí hoạt động đầu tư tàu chính phải trả</w:t>
      </w:r>
    </w:p>
    <w:p w:rsidR="005A5CA2" w:rsidRDefault="005A5CA2" w:rsidP="005A5CA2">
      <w:pPr>
        <w:spacing w:line="360" w:lineRule="auto"/>
        <w:jc w:val="both"/>
        <w:rPr>
          <w:rFonts w:ascii="Times New Roman" w:hAnsi="Times New Roman" w:cs="Times New Roman"/>
          <w:color w:val="1D2129"/>
          <w:sz w:val="26"/>
          <w:szCs w:val="26"/>
        </w:rPr>
      </w:pPr>
      <w:r w:rsidRPr="005A5CA2">
        <w:rPr>
          <w:rFonts w:ascii="Times New Roman" w:hAnsi="Times New Roman" w:cs="Times New Roman"/>
          <w:color w:val="1D2129"/>
          <w:sz w:val="26"/>
          <w:szCs w:val="26"/>
          <w:shd w:val="clear" w:color="auto" w:fill="FFFFFF"/>
        </w:rPr>
        <w:t>- Các khoản phải do bến thứ 3 chi hộ, Các khoản tiền bên nhận ủy thác nhận của các bên liên quan để thanh toán theo chỉ định trong giao dịch ủy thác xuất nhập khẩu</w:t>
      </w:r>
    </w:p>
    <w:p w:rsidR="005A5CA2" w:rsidRDefault="005A5CA2" w:rsidP="005A5CA2">
      <w:pPr>
        <w:spacing w:line="360" w:lineRule="auto"/>
        <w:jc w:val="both"/>
        <w:rPr>
          <w:rFonts w:ascii="Times New Roman" w:hAnsi="Times New Roman" w:cs="Times New Roman"/>
          <w:color w:val="1D2129"/>
          <w:sz w:val="26"/>
          <w:szCs w:val="26"/>
        </w:rPr>
      </w:pPr>
      <w:r w:rsidRPr="005A5CA2">
        <w:rPr>
          <w:rFonts w:ascii="Times New Roman" w:hAnsi="Times New Roman" w:cs="Times New Roman"/>
          <w:color w:val="1D2129"/>
          <w:sz w:val="26"/>
          <w:szCs w:val="26"/>
          <w:shd w:val="clear" w:color="auto" w:fill="FFFFFF"/>
        </w:rPr>
        <w:t xml:space="preserve">- Các khoản phải trả không mang tính thương mại như phải trả do mượn tài sản, phải trả về tiền phạt, bồi thường, tài sản thừa chờ xử </w:t>
      </w:r>
      <w:proofErr w:type="gramStart"/>
      <w:r w:rsidRPr="005A5CA2">
        <w:rPr>
          <w:rFonts w:ascii="Times New Roman" w:hAnsi="Times New Roman" w:cs="Times New Roman"/>
          <w:color w:val="1D2129"/>
          <w:sz w:val="26"/>
          <w:szCs w:val="26"/>
          <w:shd w:val="clear" w:color="auto" w:fill="FFFFFF"/>
        </w:rPr>
        <w:t>lý ,</w:t>
      </w:r>
      <w:proofErr w:type="gramEnd"/>
      <w:r w:rsidRPr="005A5CA2">
        <w:rPr>
          <w:rFonts w:ascii="Times New Roman" w:hAnsi="Times New Roman" w:cs="Times New Roman"/>
          <w:color w:val="1D2129"/>
          <w:sz w:val="26"/>
          <w:szCs w:val="26"/>
          <w:shd w:val="clear" w:color="auto" w:fill="FFFFFF"/>
        </w:rPr>
        <w:t xml:space="preserve"> phải trả về các khoản BHXH,BHYT,BHTN,KPCĐ..</w:t>
      </w:r>
    </w:p>
    <w:p w:rsidR="005A5CA2" w:rsidRDefault="005A5CA2" w:rsidP="005A5CA2">
      <w:pPr>
        <w:spacing w:line="360" w:lineRule="auto"/>
        <w:jc w:val="both"/>
        <w:rPr>
          <w:rFonts w:ascii="Times New Roman" w:hAnsi="Times New Roman" w:cs="Times New Roman"/>
          <w:color w:val="1D2129"/>
          <w:sz w:val="26"/>
          <w:szCs w:val="26"/>
        </w:rPr>
      </w:pPr>
      <w:r w:rsidRPr="005A5CA2">
        <w:rPr>
          <w:rFonts w:ascii="Times New Roman" w:hAnsi="Times New Roman" w:cs="Times New Roman"/>
          <w:color w:val="1D2129"/>
          <w:sz w:val="26"/>
          <w:szCs w:val="26"/>
          <w:shd w:val="clear" w:color="auto" w:fill="FFFFFF"/>
        </w:rPr>
        <w:t xml:space="preserve">3. Khi lập báo cáo tài </w:t>
      </w:r>
      <w:proofErr w:type="gramStart"/>
      <w:r w:rsidRPr="005A5CA2">
        <w:rPr>
          <w:rFonts w:ascii="Times New Roman" w:hAnsi="Times New Roman" w:cs="Times New Roman"/>
          <w:color w:val="1D2129"/>
          <w:sz w:val="26"/>
          <w:szCs w:val="26"/>
          <w:shd w:val="clear" w:color="auto" w:fill="FFFFFF"/>
        </w:rPr>
        <w:t>chính ,</w:t>
      </w:r>
      <w:proofErr w:type="gramEnd"/>
      <w:r w:rsidRPr="005A5CA2">
        <w:rPr>
          <w:rFonts w:ascii="Times New Roman" w:hAnsi="Times New Roman" w:cs="Times New Roman"/>
          <w:color w:val="1D2129"/>
          <w:sz w:val="26"/>
          <w:szCs w:val="26"/>
          <w:shd w:val="clear" w:color="auto" w:fill="FFFFFF"/>
        </w:rPr>
        <w:t xml:space="preserve"> kế toán căn cứ kỳ hạn còn lại của các khoản phải trả để phân loại là dài hạn hoặc ngắn hạn</w:t>
      </w:r>
    </w:p>
    <w:p w:rsidR="005A5CA2" w:rsidRDefault="005A5CA2" w:rsidP="005A5CA2">
      <w:pPr>
        <w:spacing w:line="360" w:lineRule="auto"/>
        <w:jc w:val="both"/>
        <w:rPr>
          <w:rFonts w:ascii="Times New Roman" w:hAnsi="Times New Roman" w:cs="Times New Roman"/>
          <w:color w:val="1D2129"/>
          <w:sz w:val="26"/>
          <w:szCs w:val="26"/>
        </w:rPr>
      </w:pPr>
      <w:r w:rsidRPr="005A5CA2">
        <w:rPr>
          <w:rFonts w:ascii="Times New Roman" w:hAnsi="Times New Roman" w:cs="Times New Roman"/>
          <w:color w:val="1D2129"/>
          <w:sz w:val="26"/>
          <w:szCs w:val="26"/>
          <w:shd w:val="clear" w:color="auto" w:fill="FFFFFF"/>
        </w:rPr>
        <w:t>4. Khi có các bằng chứng cho thấy một khoản tổn thất có khả năng chắc chắn xảy ra, kế toán phải ghi nhận ngay một khoản phải trả theo nguyên tắc thận trọng</w:t>
      </w:r>
    </w:p>
    <w:p w:rsidR="00A42C86" w:rsidRPr="005A5CA2" w:rsidRDefault="005A5CA2" w:rsidP="005A5CA2">
      <w:pPr>
        <w:spacing w:line="360" w:lineRule="auto"/>
        <w:jc w:val="both"/>
        <w:rPr>
          <w:rFonts w:ascii="Times New Roman" w:hAnsi="Times New Roman" w:cs="Times New Roman"/>
          <w:sz w:val="26"/>
          <w:szCs w:val="26"/>
        </w:rPr>
      </w:pPr>
      <w:r w:rsidRPr="005A5CA2">
        <w:rPr>
          <w:rFonts w:ascii="Times New Roman" w:hAnsi="Times New Roman" w:cs="Times New Roman"/>
          <w:color w:val="1D2129"/>
          <w:sz w:val="26"/>
          <w:szCs w:val="26"/>
          <w:shd w:val="clear" w:color="auto" w:fill="FFFFFF"/>
        </w:rPr>
        <w:lastRenderedPageBreak/>
        <w:t xml:space="preserve">5. Kế toán phải xác định các khoản phải trả thỏa mãn định nghĩa của các khoản mục tiêu tiền tệ có gốc ngoại tệ để đánh giá lại cuối kỳ khi lập báo cáo tài </w:t>
      </w:r>
      <w:proofErr w:type="gramStart"/>
      <w:r w:rsidRPr="005A5CA2">
        <w:rPr>
          <w:rFonts w:ascii="Times New Roman" w:hAnsi="Times New Roman" w:cs="Times New Roman"/>
          <w:color w:val="1D2129"/>
          <w:sz w:val="26"/>
          <w:szCs w:val="26"/>
          <w:shd w:val="clear" w:color="auto" w:fill="FFFFFF"/>
        </w:rPr>
        <w:t>chính .</w:t>
      </w:r>
      <w:proofErr w:type="gramEnd"/>
    </w:p>
    <w:sectPr w:rsidR="00A42C86" w:rsidRPr="005A5C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A2"/>
    <w:rsid w:val="005A5CA2"/>
    <w:rsid w:val="00A42C86"/>
    <w:rsid w:val="00D74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7EC8"/>
  <w15:chartTrackingRefBased/>
  <w15:docId w15:val="{8963DB70-512B-45FD-9DE2-21FB1387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2020-04-14T02:34:00Z</dcterms:created>
  <dcterms:modified xsi:type="dcterms:W3CDTF">2020-04-14T02:40:00Z</dcterms:modified>
</cp:coreProperties>
</file>