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780" w:rsidRPr="00F823DF" w:rsidRDefault="00C50780" w:rsidP="00C50780">
      <w:pPr>
        <w:spacing w:before="120"/>
        <w:jc w:val="right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Mẫu </w:t>
      </w:r>
      <w:r w:rsidRPr="00F823DF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>số</w:t>
      </w:r>
      <w:r w:rsidRPr="00F823DF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 32/CVGHNT/TXNK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C50780" w:rsidRPr="00F823DF" w:rsidTr="001B0F79">
        <w:tc>
          <w:tcPr>
            <w:tcW w:w="3348" w:type="dxa"/>
          </w:tcPr>
          <w:p w:rsidR="00C50780" w:rsidRPr="00F823DF" w:rsidRDefault="00C50780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TÊN NGƯỜI NỘP THUẾ</w:t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br/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-------</w:t>
            </w:r>
          </w:p>
        </w:tc>
        <w:tc>
          <w:tcPr>
            <w:tcW w:w="5508" w:type="dxa"/>
          </w:tcPr>
          <w:p w:rsidR="00C50780" w:rsidRPr="00F823DF" w:rsidRDefault="00C50780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CỘNG HÒA XÃ HỘI CHỦ NGHĨA VIỆT NAM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  <w:t xml:space="preserve">Độc lập - Tự do - Hạnh phúc 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  <w:t>---------------</w:t>
            </w:r>
          </w:p>
        </w:tc>
      </w:tr>
      <w:tr w:rsidR="00C50780" w:rsidRPr="00F823DF" w:rsidTr="001B0F79">
        <w:tc>
          <w:tcPr>
            <w:tcW w:w="3348" w:type="dxa"/>
            <w:tcBorders>
              <w:top w:val="nil"/>
              <w:left w:val="nil"/>
              <w:right w:val="nil"/>
            </w:tcBorders>
          </w:tcPr>
          <w:p w:rsidR="00C50780" w:rsidRPr="00F823DF" w:rsidRDefault="00C50780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Số:……../TB-….….</w:t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br/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V/v đề nghị gia hạn nộp tiền thuế, tiền chậm nộp, tiền phạt</w:t>
            </w:r>
          </w:p>
        </w:tc>
        <w:tc>
          <w:tcPr>
            <w:tcW w:w="5508" w:type="dxa"/>
          </w:tcPr>
          <w:p w:rsidR="00C50780" w:rsidRPr="00F823DF" w:rsidRDefault="00C50780" w:rsidP="001B0F79">
            <w:pPr>
              <w:spacing w:before="120"/>
              <w:jc w:val="right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</w:pP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…………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, ngày 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…..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 tháng 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…..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 năm 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…….</w:t>
            </w:r>
          </w:p>
        </w:tc>
      </w:tr>
    </w:tbl>
    <w:p w:rsidR="00C50780" w:rsidRPr="00F823DF" w:rsidRDefault="00C50780" w:rsidP="00C50780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</w:p>
    <w:p w:rsidR="00C50780" w:rsidRPr="00F823DF" w:rsidRDefault="00C50780" w:rsidP="00C50780">
      <w:pPr>
        <w:spacing w:before="1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>Kính gửi: (Tên cơ quan hải quan có thẩm quyền giải quyết gia hạn).</w:t>
      </w:r>
    </w:p>
    <w:p w:rsidR="00C50780" w:rsidRPr="00F823DF" w:rsidRDefault="00C50780" w:rsidP="00C50780">
      <w:pPr>
        <w:spacing w:before="1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>Căn cứ Điều 49, 50, 51, 52 của Luật quản lý thuế số 78/2006/QH11 được sửa đổi, bổ sung tại khoản 14, 15 Điều 1 Luật số 21/2012/QH13, Khoản 3 Điều 6 Luật số 71/2014/QH13; khoản 8 Điều 5 Nghị định 12/2</w:t>
      </w:r>
      <w:bookmarkStart w:id="0" w:name="_GoBack"/>
      <w:bookmarkEnd w:id="0"/>
      <w:r w:rsidRPr="00F823DF">
        <w:rPr>
          <w:rFonts w:ascii="Times New Roman" w:hAnsi="Times New Roman" w:cs="Times New Roman"/>
          <w:color w:val="auto"/>
          <w:sz w:val="26"/>
          <w:szCs w:val="26"/>
        </w:rPr>
        <w:t>015/NĐ-CP; khoản.... Điều...Thông tư số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….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 ngày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…..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 của Bộ Tài chính sửa đổi, bổ sung Điều 135 Thông tư số 38/2015/TT-BTC ngày 25/3/2015 quy định về thủ tục hải quan; kiểm tra, giám sát hải quan; thuế xuất khẩu, thuế nhập khẩu và quản lý thuế đối với hàng hóa xuất khẩu, nhập khẩu;</w:t>
      </w:r>
    </w:p>
    <w:p w:rsidR="00C50780" w:rsidRPr="00F823DF" w:rsidRDefault="00C50780" w:rsidP="00C50780">
      <w:pPr>
        <w:spacing w:before="1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……….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 (tê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n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 người nộp thuế), mã số thuế...., địa chỉ.... đang có nợ tiền thuế, tiền chậm nộp, tiền phạt của tờ khai số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>ngày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…… 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>tháng...năm ..., nơi đăng ký.... hoặc quyết định ấn định thuế số... ngày ....tháng...năm...(trường hợp nợ nhiều tờ khai thì lập bảng kê đính kèm).</w:t>
      </w:r>
    </w:p>
    <w:p w:rsidR="00C50780" w:rsidRPr="00F823DF" w:rsidRDefault="00C50780" w:rsidP="00C50780">
      <w:pPr>
        <w:tabs>
          <w:tab w:val="right" w:leader="dot" w:pos="8520"/>
        </w:tabs>
        <w:spacing w:before="120"/>
        <w:jc w:val="both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Lý do đề nghị gia hạn nộp thuế, tiền chậm nộp, tiền phạt: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C50780" w:rsidRPr="00F823DF" w:rsidRDefault="00C50780" w:rsidP="00C50780">
      <w:pPr>
        <w:spacing w:before="1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>Đề nghị ....(tên cơ quan hải quan có thẩm quyền giải quyết gia hạn) cho Công ty... được gia hạn nộp thuế, tiền chậm nộp, tiền phạt, cụ thể:</w:t>
      </w:r>
    </w:p>
    <w:p w:rsidR="00C50780" w:rsidRPr="00F823DF" w:rsidRDefault="00C50780" w:rsidP="00C50780">
      <w:pPr>
        <w:spacing w:before="1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- Số tiền đề nghị gia hạn: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           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>(Bằng chữ:....)</w:t>
      </w:r>
    </w:p>
    <w:p w:rsidR="00C50780" w:rsidRPr="00F823DF" w:rsidRDefault="00C50780" w:rsidP="00C50780">
      <w:pPr>
        <w:spacing w:before="1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>- Thời gian đề nghị gia hạn:</w:t>
      </w:r>
    </w:p>
    <w:p w:rsidR="00C50780" w:rsidRPr="00F823DF" w:rsidRDefault="00C50780" w:rsidP="00C50780">
      <w:pPr>
        <w:spacing w:before="1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>(Gửi kèm hồ sơ theo quy định tại Điều 135 nêu trên)</w:t>
      </w:r>
    </w:p>
    <w:p w:rsidR="00C50780" w:rsidRPr="00F823DF" w:rsidRDefault="00C50780" w:rsidP="00C50780">
      <w:pPr>
        <w:spacing w:before="1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>Công ty... cam kết, chịu trách nhiệm trước pháp luật về tính chính xác, trung thực của các nội dung nêu trên./.</w:t>
      </w:r>
    </w:p>
    <w:p w:rsidR="00C50780" w:rsidRPr="00F823DF" w:rsidRDefault="00C50780" w:rsidP="00C50780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C50780" w:rsidRPr="00F823DF" w:rsidTr="001B0F79">
        <w:tc>
          <w:tcPr>
            <w:tcW w:w="4428" w:type="dxa"/>
          </w:tcPr>
          <w:p w:rsidR="00C50780" w:rsidRPr="00F823DF" w:rsidRDefault="00C50780" w:rsidP="001B0F79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C50780" w:rsidRPr="00F823DF" w:rsidRDefault="00C50780" w:rsidP="001B0F79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  <w:t>Nơi nhận:</w:t>
            </w:r>
            <w:r w:rsidRPr="00F823DF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  <w:br/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Như trên; </w:t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</w:r>
            <w:bookmarkStart w:id="1" w:name="bookmark23"/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Lưu: VT,... </w:t>
            </w:r>
            <w:bookmarkEnd w:id="1"/>
          </w:p>
        </w:tc>
        <w:tc>
          <w:tcPr>
            <w:tcW w:w="4428" w:type="dxa"/>
          </w:tcPr>
          <w:p w:rsidR="00C50780" w:rsidRPr="00F823DF" w:rsidRDefault="00C50780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NGƯỜI ĐẠI DIỆN THEO PH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Á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P LUẬT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br/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(HOẶC NGƯỜI ĐƯỢC ỦY QUYỀN)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br/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(Ký, ghi rõ họ tên, đ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ó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ng dấu)</w:t>
            </w:r>
          </w:p>
        </w:tc>
      </w:tr>
    </w:tbl>
    <w:p w:rsidR="00C50780" w:rsidRPr="00F823DF" w:rsidRDefault="00C50780" w:rsidP="00C50780">
      <w:pPr>
        <w:spacing w:before="120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b/>
          <w:i/>
          <w:color w:val="auto"/>
          <w:sz w:val="26"/>
          <w:szCs w:val="26"/>
        </w:rPr>
        <w:t>Ghi chú:</w:t>
      </w:r>
    </w:p>
    <w:p w:rsidR="00C50780" w:rsidRPr="00F823DF" w:rsidRDefault="00C50780" w:rsidP="00C50780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>Nội dung phần căn cứ sẽ thay đổi khi văn bản quy phạm pháp luật th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a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>y đổi.</w:t>
      </w:r>
    </w:p>
    <w:p w:rsidR="00547117" w:rsidRDefault="00547117"/>
    <w:sectPr w:rsidR="00547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80"/>
    <w:rsid w:val="00547117"/>
    <w:rsid w:val="00C50780"/>
    <w:rsid w:val="00C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A440E-E13F-47B1-8022-E0E27DDA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5078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0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2019-12-27T07:59:00Z</dcterms:created>
  <dcterms:modified xsi:type="dcterms:W3CDTF">2019-12-27T08:00:00Z</dcterms:modified>
</cp:coreProperties>
</file>