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B6E8E" w14:textId="77777777" w:rsidR="00977E9F" w:rsidRDefault="00977E9F" w:rsidP="00977E9F">
      <w:pPr>
        <w:spacing w:before="120" w:after="280" w:afterAutospacing="1"/>
        <w:jc w:val="right"/>
      </w:pPr>
      <w:bookmarkStart w:id="0" w:name="chuong_pl_6"/>
      <w:r>
        <w:rPr>
          <w:b/>
          <w:bCs/>
          <w:color w:val="000000"/>
          <w:lang w:val="vi-VN"/>
        </w:rPr>
        <w:t>Mẫu số 06</w:t>
      </w:r>
      <w:bookmarkEnd w:id="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5219"/>
      </w:tblGrid>
      <w:tr w:rsidR="00977E9F" w14:paraId="0B35C117" w14:textId="77777777" w:rsidTr="00EF3BFF">
        <w:trPr>
          <w:trHeight w:val="469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2282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NGÂN HÀNG </w:t>
            </w:r>
            <w:r>
              <w:rPr>
                <w:b/>
                <w:bCs/>
                <w:color w:val="000000"/>
              </w:rPr>
              <w:t>NHÀ NƯỚC VIỆT NAM</w:t>
            </w:r>
            <w:r>
              <w:rPr>
                <w:b/>
                <w:bCs/>
                <w:color w:val="000000"/>
              </w:rPr>
              <w:br/>
              <w:t>-------</w:t>
            </w:r>
          </w:p>
        </w:tc>
        <w:tc>
          <w:tcPr>
            <w:tcW w:w="27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931E" w14:textId="77777777" w:rsidR="00977E9F" w:rsidRDefault="00977E9F" w:rsidP="00EF3BFF">
            <w:pPr>
              <w:spacing w:before="120"/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14:paraId="283D4502" w14:textId="77777777" w:rsidR="00977E9F" w:rsidRDefault="00977E9F" w:rsidP="00977E9F">
      <w:pPr>
        <w:spacing w:before="120" w:after="280" w:afterAutospacing="1"/>
      </w:pPr>
      <w:r>
        <w:t> </w:t>
      </w:r>
    </w:p>
    <w:p w14:paraId="518D134D" w14:textId="77777777" w:rsidR="00977E9F" w:rsidRDefault="00977E9F" w:rsidP="00977E9F">
      <w:pPr>
        <w:spacing w:before="120" w:after="280" w:afterAutospacing="1"/>
        <w:jc w:val="center"/>
      </w:pPr>
      <w:bookmarkStart w:id="1" w:name="chuong_pl_6_name"/>
      <w:r>
        <w:rPr>
          <w:b/>
          <w:bCs/>
          <w:color w:val="000000"/>
          <w:lang w:val="vi-VN"/>
        </w:rPr>
        <w:t>TỔNG HỢP BÁO CÁO QUYẾT TOÁN HỖ TRỢ LÃI SUẤT CỦA CÁC NGÂN HÀNG THƯƠNG MẠI NĂM 2022/2023</w:t>
      </w:r>
      <w:bookmarkEnd w:id="1"/>
    </w:p>
    <w:p w14:paraId="2C2A45F1" w14:textId="77777777" w:rsidR="00977E9F" w:rsidRDefault="00977E9F" w:rsidP="00977E9F">
      <w:pPr>
        <w:spacing w:before="120" w:after="280" w:afterAutospacing="1"/>
        <w:jc w:val="center"/>
      </w:pPr>
      <w:r>
        <w:rPr>
          <w:i/>
          <w:iCs/>
          <w:color w:val="000000"/>
          <w:lang w:val="vi-VN"/>
        </w:rPr>
        <w:t>(Đính kèm Công văn số .../NHNN-TD của Ngân hàng Nhà nước Việt Nam gửi Bộ Tài chính)</w:t>
      </w:r>
    </w:p>
    <w:p w14:paraId="6CCA07A3" w14:textId="77777777" w:rsidR="00977E9F" w:rsidRDefault="00977E9F" w:rsidP="00977E9F">
      <w:pPr>
        <w:spacing w:before="120" w:after="280" w:afterAutospacing="1"/>
        <w:jc w:val="right"/>
      </w:pPr>
      <w:r>
        <w:rPr>
          <w:color w:val="000000"/>
          <w:lang w:val="vi-VN"/>
        </w:rPr>
        <w:t>Đơn vị: Đ</w:t>
      </w:r>
      <w:r>
        <w:rPr>
          <w:color w:val="000000"/>
        </w:rPr>
        <w:t>ồ</w:t>
      </w:r>
      <w:r>
        <w:rPr>
          <w:color w:val="000000"/>
          <w:lang w:val="vi-VN"/>
        </w:rPr>
        <w:t>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683"/>
        <w:gridCol w:w="576"/>
        <w:gridCol w:w="397"/>
        <w:gridCol w:w="361"/>
        <w:gridCol w:w="565"/>
        <w:gridCol w:w="542"/>
        <w:gridCol w:w="580"/>
        <w:gridCol w:w="542"/>
        <w:gridCol w:w="767"/>
        <w:gridCol w:w="961"/>
        <w:gridCol w:w="580"/>
        <w:gridCol w:w="610"/>
        <w:gridCol w:w="722"/>
        <w:gridCol w:w="1073"/>
      </w:tblGrid>
      <w:tr w:rsidR="00977E9F" w14:paraId="4675D0C0" w14:textId="77777777" w:rsidTr="00EF3BFF">
        <w:tc>
          <w:tcPr>
            <w:tcW w:w="2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F74C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STT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D47B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Tên ngân hàng thương mại</w:t>
            </w:r>
          </w:p>
        </w:tc>
        <w:tc>
          <w:tcPr>
            <w:tcW w:w="3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6387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 xml:space="preserve">Dư nợ </w:t>
            </w:r>
            <w:r>
              <w:rPr>
                <w:b/>
                <w:bCs/>
                <w:color w:val="000000"/>
                <w:sz w:val="18"/>
              </w:rPr>
              <w:t xml:space="preserve">HTLS </w:t>
            </w:r>
            <w:r>
              <w:rPr>
                <w:b/>
                <w:bCs/>
                <w:color w:val="000000"/>
                <w:sz w:val="18"/>
                <w:lang w:val="vi-VN"/>
              </w:rPr>
              <w:t>đầu năm</w:t>
            </w:r>
          </w:p>
        </w:tc>
        <w:tc>
          <w:tcPr>
            <w:tcW w:w="4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FAA7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Doanh số phát sinh trong năm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88C85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 xml:space="preserve">Dư nợ </w:t>
            </w:r>
            <w:r>
              <w:rPr>
                <w:b/>
                <w:bCs/>
                <w:color w:val="000000"/>
                <w:sz w:val="18"/>
              </w:rPr>
              <w:t xml:space="preserve">HTLS </w:t>
            </w:r>
            <w:r>
              <w:rPr>
                <w:b/>
                <w:bCs/>
                <w:color w:val="000000"/>
                <w:sz w:val="18"/>
                <w:lang w:val="vi-VN"/>
              </w:rPr>
              <w:t>cuối năm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839878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Hạn mức HTLS được thông báo</w:t>
            </w:r>
          </w:p>
        </w:tc>
        <w:tc>
          <w:tcPr>
            <w:tcW w:w="15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7CF860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Theo báo cáo quy</w:t>
            </w:r>
            <w:r>
              <w:rPr>
                <w:b/>
                <w:bCs/>
                <w:color w:val="000000"/>
                <w:sz w:val="18"/>
              </w:rPr>
              <w:t>ế</w:t>
            </w:r>
            <w:r>
              <w:rPr>
                <w:b/>
                <w:bCs/>
                <w:color w:val="000000"/>
                <w:sz w:val="18"/>
                <w:lang w:val="vi-VN"/>
              </w:rPr>
              <w:t>t toán của NHTM</w:t>
            </w:r>
          </w:p>
        </w:tc>
        <w:tc>
          <w:tcPr>
            <w:tcW w:w="159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17156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Theo báo cáo t</w:t>
            </w:r>
            <w:r>
              <w:rPr>
                <w:b/>
                <w:bCs/>
                <w:color w:val="000000"/>
                <w:sz w:val="18"/>
              </w:rPr>
              <w:t>ổ</w:t>
            </w:r>
            <w:r>
              <w:rPr>
                <w:b/>
                <w:bCs/>
                <w:color w:val="000000"/>
                <w:sz w:val="18"/>
                <w:lang w:val="vi-VN"/>
              </w:rPr>
              <w:t xml:space="preserve">ng </w:t>
            </w:r>
            <w:r>
              <w:rPr>
                <w:b/>
                <w:bCs/>
                <w:color w:val="000000"/>
                <w:sz w:val="18"/>
              </w:rPr>
              <w:t>h</w:t>
            </w:r>
            <w:r>
              <w:rPr>
                <w:b/>
                <w:bCs/>
                <w:color w:val="000000"/>
                <w:sz w:val="18"/>
                <w:lang w:val="vi-VN"/>
              </w:rPr>
              <w:t>ợp quyết toán của NHNNVN</w:t>
            </w:r>
          </w:p>
        </w:tc>
      </w:tr>
      <w:tr w:rsidR="00977E9F" w14:paraId="68B274C4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D62DCB" w14:textId="77777777" w:rsidR="00977E9F" w:rsidRDefault="00977E9F" w:rsidP="00EF3BF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A788A2" w14:textId="77777777" w:rsidR="00977E9F" w:rsidRDefault="00977E9F" w:rsidP="00EF3BFF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31780E" w14:textId="77777777" w:rsidR="00977E9F" w:rsidRDefault="00977E9F" w:rsidP="00EF3BFF">
            <w:pPr>
              <w:spacing w:before="120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9CAF" w14:textId="77777777" w:rsidR="00977E9F" w:rsidRDefault="00977E9F" w:rsidP="00EF3BFF">
            <w:pPr>
              <w:spacing w:before="120" w:after="280" w:afterAutospacing="1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Cho</w:t>
            </w:r>
          </w:p>
          <w:p w14:paraId="73A2B91E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vay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A20B" w14:textId="77777777" w:rsidR="00977E9F" w:rsidRDefault="00977E9F" w:rsidP="00EF3BFF">
            <w:pPr>
              <w:spacing w:before="120" w:after="280" w:afterAutospacing="1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Thu</w:t>
            </w:r>
          </w:p>
          <w:p w14:paraId="7AE95A6E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nợ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3F3761" w14:textId="77777777" w:rsidR="00977E9F" w:rsidRDefault="00977E9F" w:rsidP="00EF3BFF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3C632C" w14:textId="77777777" w:rsidR="00977E9F" w:rsidRDefault="00977E9F" w:rsidP="00EF3BFF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B56E25" w14:textId="77777777" w:rsidR="00977E9F" w:rsidRDefault="00977E9F" w:rsidP="00EF3BFF">
            <w:pPr>
              <w:spacing w:before="120"/>
              <w:jc w:val="center"/>
            </w:pPr>
            <w:proofErr w:type="spellStart"/>
            <w:r>
              <w:rPr>
                <w:b/>
                <w:bCs/>
                <w:color w:val="000000"/>
                <w:sz w:val="18"/>
              </w:rPr>
              <w:t>Số</w:t>
            </w:r>
            <w:proofErr w:type="spellEnd"/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lang w:val="vi-VN"/>
              </w:rPr>
              <w:t>tiền NHTM đã HTLS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4F4F25" w14:textId="77777777" w:rsidR="00977E9F" w:rsidRDefault="00977E9F" w:rsidP="00EF3BFF">
            <w:pPr>
              <w:spacing w:before="120"/>
              <w:jc w:val="center"/>
            </w:pPr>
            <w:proofErr w:type="spellStart"/>
            <w:r>
              <w:rPr>
                <w:b/>
                <w:bCs/>
                <w:color w:val="000000"/>
                <w:sz w:val="18"/>
              </w:rPr>
              <w:t>Số</w:t>
            </w:r>
            <w:proofErr w:type="spellEnd"/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lang w:val="vi-VN"/>
              </w:rPr>
              <w:t>tiền đã HTLS bị thu hồi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9BFFC8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S</w:t>
            </w:r>
            <w:r>
              <w:rPr>
                <w:b/>
                <w:bCs/>
                <w:color w:val="000000"/>
                <w:sz w:val="18"/>
              </w:rPr>
              <w:t xml:space="preserve">ố </w:t>
            </w:r>
            <w:r>
              <w:rPr>
                <w:b/>
                <w:bCs/>
                <w:color w:val="000000"/>
                <w:sz w:val="18"/>
                <w:lang w:val="vi-VN"/>
              </w:rPr>
              <w:t xml:space="preserve">tiền đã được </w:t>
            </w:r>
            <w:r>
              <w:rPr>
                <w:b/>
                <w:bCs/>
                <w:color w:val="000000"/>
                <w:sz w:val="18"/>
              </w:rPr>
              <w:t xml:space="preserve">NSNN </w:t>
            </w:r>
            <w:r>
              <w:rPr>
                <w:b/>
                <w:bCs/>
                <w:color w:val="000000"/>
                <w:sz w:val="18"/>
                <w:lang w:val="vi-VN"/>
              </w:rPr>
              <w:t>thanh toán trước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B05E1E" w14:textId="77777777" w:rsidR="00977E9F" w:rsidRDefault="00977E9F" w:rsidP="00EF3BFF">
            <w:pPr>
              <w:spacing w:before="120"/>
              <w:jc w:val="center"/>
            </w:pPr>
            <w:proofErr w:type="spellStart"/>
            <w:r>
              <w:rPr>
                <w:b/>
                <w:bCs/>
                <w:color w:val="000000"/>
                <w:sz w:val="18"/>
              </w:rPr>
              <w:t>Số</w:t>
            </w:r>
            <w:proofErr w:type="spellEnd"/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lang w:val="vi-VN"/>
              </w:rPr>
              <w:t xml:space="preserve">tiền còn lại đề nghị </w:t>
            </w:r>
            <w:r>
              <w:rPr>
                <w:b/>
                <w:bCs/>
                <w:color w:val="000000"/>
                <w:sz w:val="18"/>
              </w:rPr>
              <w:t xml:space="preserve">NSNN </w:t>
            </w:r>
            <w:r>
              <w:rPr>
                <w:b/>
                <w:bCs/>
                <w:color w:val="000000"/>
                <w:sz w:val="18"/>
                <w:lang w:val="vi-VN"/>
              </w:rPr>
              <w:t>thanh toán /hoặc giảm tr</w:t>
            </w:r>
            <w:r>
              <w:rPr>
                <w:b/>
                <w:bCs/>
                <w:color w:val="000000"/>
                <w:sz w:val="18"/>
              </w:rPr>
              <w:t xml:space="preserve">ừ </w:t>
            </w:r>
            <w:r>
              <w:rPr>
                <w:b/>
                <w:bCs/>
                <w:color w:val="000000"/>
                <w:sz w:val="18"/>
                <w:lang w:val="vi-VN"/>
              </w:rPr>
              <w:t>trong năm ti</w:t>
            </w:r>
            <w:r>
              <w:rPr>
                <w:b/>
                <w:bCs/>
                <w:color w:val="000000"/>
                <w:sz w:val="18"/>
              </w:rPr>
              <w:t>ế</w:t>
            </w:r>
            <w:r>
              <w:rPr>
                <w:b/>
                <w:bCs/>
                <w:color w:val="000000"/>
                <w:sz w:val="18"/>
                <w:lang w:val="vi-VN"/>
              </w:rPr>
              <w:t xml:space="preserve">p theo/hoặc hoàn trả </w:t>
            </w:r>
            <w:r>
              <w:rPr>
                <w:b/>
                <w:bCs/>
                <w:color w:val="000000"/>
                <w:sz w:val="18"/>
              </w:rPr>
              <w:t>NSNN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78329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Số tiền NHTM đã HTLS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0F82B3" w14:textId="77777777" w:rsidR="00977E9F" w:rsidRDefault="00977E9F" w:rsidP="00EF3BFF">
            <w:pPr>
              <w:spacing w:before="120"/>
              <w:jc w:val="center"/>
            </w:pPr>
            <w:proofErr w:type="spellStart"/>
            <w:r>
              <w:rPr>
                <w:b/>
                <w:bCs/>
                <w:color w:val="000000"/>
                <w:sz w:val="18"/>
              </w:rPr>
              <w:t>Số</w:t>
            </w:r>
            <w:proofErr w:type="spellEnd"/>
            <w:r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lang w:val="vi-VN"/>
              </w:rPr>
              <w:t>tiền đã HTLS bị thu hồi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15FFD1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 xml:space="preserve">Số tiền đã được </w:t>
            </w:r>
            <w:r>
              <w:rPr>
                <w:b/>
                <w:bCs/>
                <w:color w:val="000000"/>
                <w:sz w:val="18"/>
              </w:rPr>
              <w:t xml:space="preserve">NSNN </w:t>
            </w:r>
            <w:r>
              <w:rPr>
                <w:b/>
                <w:bCs/>
                <w:color w:val="000000"/>
                <w:sz w:val="18"/>
                <w:lang w:val="vi-VN"/>
              </w:rPr>
              <w:t>thanh toán trước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03D942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 xml:space="preserve">Số tiền NSNN còn phải thanh toán </w:t>
            </w:r>
            <w:r>
              <w:rPr>
                <w:color w:val="000000"/>
                <w:sz w:val="18"/>
                <w:lang w:val="vi-VN"/>
              </w:rPr>
              <w:t xml:space="preserve">[nếu (15)&gt;0], </w:t>
            </w:r>
            <w:r>
              <w:rPr>
                <w:b/>
                <w:bCs/>
                <w:color w:val="000000"/>
                <w:sz w:val="18"/>
                <w:lang w:val="vi-VN"/>
              </w:rPr>
              <w:t xml:space="preserve">hoặc giảm trừ vào năm tiếp theo hoặc phải hoàn </w:t>
            </w:r>
            <w:proofErr w:type="spellStart"/>
            <w:r>
              <w:rPr>
                <w:b/>
                <w:bCs/>
                <w:color w:val="000000"/>
                <w:sz w:val="18"/>
              </w:rPr>
              <w:t>trả</w:t>
            </w:r>
            <w:proofErr w:type="spellEnd"/>
            <w:r>
              <w:rPr>
                <w:b/>
                <w:bCs/>
                <w:color w:val="000000"/>
                <w:sz w:val="18"/>
              </w:rPr>
              <w:t xml:space="preserve"> NSNN </w:t>
            </w:r>
            <w:r>
              <w:rPr>
                <w:color w:val="000000"/>
                <w:sz w:val="18"/>
                <w:lang w:val="vi-VN"/>
              </w:rPr>
              <w:t>[nếu(15)&lt;0</w:t>
            </w:r>
            <w:r>
              <w:rPr>
                <w:color w:val="000000"/>
                <w:sz w:val="18"/>
              </w:rPr>
              <w:t>]</w:t>
            </w:r>
          </w:p>
        </w:tc>
      </w:tr>
      <w:tr w:rsidR="00977E9F" w14:paraId="6A45BE7B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368176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(1)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158D2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(2)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8938AC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(3)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FE3CB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(4)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2BD42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(5)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8376FF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(6)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7915AA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(7)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0EC81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(8)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BDF139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(9)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BE1D0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(10)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72B4B1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(11)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8AB2C1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(12)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888C0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(13)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A32A81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(14)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28142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</w:rPr>
              <w:t>(</w:t>
            </w:r>
            <w:proofErr w:type="gramStart"/>
            <w:r>
              <w:rPr>
                <w:color w:val="000000"/>
                <w:sz w:val="18"/>
              </w:rPr>
              <w:t>15)=</w:t>
            </w:r>
            <w:proofErr w:type="gramEnd"/>
            <w:r>
              <w:rPr>
                <w:color w:val="000000"/>
                <w:sz w:val="18"/>
              </w:rPr>
              <w:t>(12)-(13)-(14)</w:t>
            </w:r>
          </w:p>
        </w:tc>
      </w:tr>
      <w:tr w:rsidR="00977E9F" w14:paraId="75758507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A9581E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  <w:lang w:val="vi-VN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A62BCC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EB1417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6E8E2D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10354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F98316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26A719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E56E8E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F1CD1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178F5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DA32BB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92712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BCB02F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FE253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5A6F88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977E9F" w14:paraId="6BED08E2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D4877" w14:textId="77777777" w:rsidR="00977E9F" w:rsidRDefault="00977E9F" w:rsidP="00EF3BFF">
            <w:pPr>
              <w:spacing w:before="120"/>
              <w:jc w:val="center"/>
            </w:pPr>
            <w:r>
              <w:rPr>
                <w:color w:val="000000"/>
                <w:sz w:val="18"/>
              </w:rPr>
              <w:t>…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1DEDD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DF91C4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E7B8A2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A3140A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44A0C5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D876F1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57B911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39FE3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F991B8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819E8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E6BFDD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5B27F3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1864A0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D935AE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</w:tr>
      <w:tr w:rsidR="00977E9F" w14:paraId="43C9DEEB" w14:textId="77777777" w:rsidTr="00EF3BF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BA89" w14:textId="77777777" w:rsidR="00977E9F" w:rsidRDefault="00977E9F" w:rsidP="00EF3BFF">
            <w:pPr>
              <w:spacing w:before="120"/>
              <w:jc w:val="center"/>
            </w:pPr>
            <w:r>
              <w:rPr>
                <w:b/>
                <w:bCs/>
                <w:color w:val="000000"/>
                <w:sz w:val="18"/>
                <w:lang w:val="vi-VN"/>
              </w:rPr>
              <w:t>T</w:t>
            </w:r>
            <w:r>
              <w:rPr>
                <w:b/>
                <w:bCs/>
                <w:color w:val="000000"/>
                <w:sz w:val="18"/>
              </w:rPr>
              <w:t>ổ</w:t>
            </w:r>
            <w:r>
              <w:rPr>
                <w:b/>
                <w:bCs/>
                <w:color w:val="000000"/>
                <w:sz w:val="18"/>
                <w:lang w:val="vi-VN"/>
              </w:rPr>
              <w:t>ng số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532477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AA519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8C8EF1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48BBE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1C9D8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294ACC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73A19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EC7739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A68AA3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21939E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28C660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4F30A3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0995F0" w14:textId="77777777" w:rsidR="00977E9F" w:rsidRDefault="00977E9F" w:rsidP="00EF3BFF">
            <w:pPr>
              <w:spacing w:before="120"/>
            </w:pPr>
            <w:r>
              <w:rPr>
                <w:color w:val="000000"/>
                <w:sz w:val="18"/>
              </w:rPr>
              <w:t> </w:t>
            </w:r>
          </w:p>
        </w:tc>
      </w:tr>
    </w:tbl>
    <w:p w14:paraId="3279C932" w14:textId="77777777" w:rsidR="00977E9F" w:rsidRDefault="00977E9F" w:rsidP="00977E9F">
      <w:pPr>
        <w:spacing w:before="120" w:after="280" w:afterAutospacing="1"/>
      </w:pPr>
      <w:r>
        <w:rPr>
          <w:b/>
          <w:bCs/>
          <w:i/>
          <w:iCs/>
          <w:color w:val="000000"/>
          <w:lang w:val="vi-VN"/>
        </w:rPr>
        <w:t>Gh</w:t>
      </w:r>
      <w:proofErr w:type="spellStart"/>
      <w:r>
        <w:rPr>
          <w:b/>
          <w:bCs/>
          <w:i/>
          <w:iCs/>
          <w:color w:val="000000"/>
        </w:rPr>
        <w:t>i</w:t>
      </w:r>
      <w:proofErr w:type="spellEnd"/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  <w:lang w:val="vi-VN"/>
        </w:rPr>
        <w:t>chú:</w:t>
      </w:r>
    </w:p>
    <w:p w14:paraId="05284541" w14:textId="77777777" w:rsidR="00977E9F" w:rsidRDefault="00977E9F" w:rsidP="00977E9F">
      <w:pPr>
        <w:spacing w:before="120" w:after="280" w:afterAutospacing="1"/>
      </w:pPr>
      <w:r>
        <w:rPr>
          <w:color w:val="000000"/>
          <w:lang w:val="vi-VN"/>
        </w:rPr>
        <w:t>- Cột (8), (9), (10), (11) báo cáo số liệu theo báo cáo quyết toán hỗ trợ lãi suất của ngân hàng thương mại theo Mẫu số 04 và M</w:t>
      </w:r>
      <w:r>
        <w:rPr>
          <w:color w:val="000000"/>
        </w:rPr>
        <w:t>ẫ</w:t>
      </w:r>
      <w:r>
        <w:rPr>
          <w:color w:val="000000"/>
          <w:lang w:val="vi-VN"/>
        </w:rPr>
        <w:t>u số 05;</w:t>
      </w:r>
    </w:p>
    <w:p w14:paraId="74F58A07" w14:textId="77777777" w:rsidR="00977E9F" w:rsidRDefault="00977E9F" w:rsidP="00977E9F">
      <w:pPr>
        <w:spacing w:before="120" w:after="280" w:afterAutospacing="1"/>
      </w:pPr>
      <w:r>
        <w:rPr>
          <w:color w:val="000000"/>
          <w:lang w:val="vi-VN"/>
        </w:rPr>
        <w:t>- Cột (12), (13), (14), (15) báo cáo số liệu theo báo cáo tổng hợp báo cáo quyết toán hỗ trợ lãi suất quy định tại điểm c khoản 4 Điều 7 Nghị định này.</w:t>
      </w:r>
    </w:p>
    <w:p w14:paraId="732F3BCA" w14:textId="77777777" w:rsidR="00D70B53" w:rsidRDefault="00D70B53"/>
    <w:sectPr w:rsidR="00D7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9F"/>
    <w:rsid w:val="00977E9F"/>
    <w:rsid w:val="00D7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570A"/>
  <w15:chartTrackingRefBased/>
  <w15:docId w15:val="{DE5C0B3A-D1FA-45EB-B0A8-4DBFB6CC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2022-06-08T02:51:00Z</dcterms:created>
  <dcterms:modified xsi:type="dcterms:W3CDTF">2022-06-08T02:52:00Z</dcterms:modified>
</cp:coreProperties>
</file>