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D6" w:rsidRPr="00C41DEB" w:rsidRDefault="00F57065" w:rsidP="009637D6">
      <w:pPr>
        <w:jc w:val="center"/>
        <w:rPr>
          <w:rFonts w:ascii="Times New Roman" w:hAnsi="Times New Roman" w:cs="Times New Roman"/>
          <w:b/>
          <w:sz w:val="30"/>
          <w:szCs w:val="30"/>
          <w:shd w:val="clear" w:color="auto" w:fill="FFFFFF"/>
        </w:rPr>
      </w:pPr>
      <w:r w:rsidRPr="00C41DEB">
        <w:rPr>
          <w:rFonts w:ascii="Times New Roman" w:hAnsi="Times New Roman" w:cs="Times New Roman"/>
          <w:b/>
          <w:sz w:val="30"/>
          <w:szCs w:val="30"/>
          <w:shd w:val="clear" w:color="auto" w:fill="FFFFFF"/>
        </w:rPr>
        <w:t>HƯỚNG DẪN</w:t>
      </w:r>
    </w:p>
    <w:p w:rsidR="00EC276E" w:rsidRPr="00C41DEB" w:rsidRDefault="003E3AF3" w:rsidP="009637D6">
      <w:pPr>
        <w:jc w:val="center"/>
        <w:rPr>
          <w:rFonts w:ascii="Times New Roman" w:hAnsi="Times New Roman" w:cs="Times New Roman"/>
          <w:b/>
          <w:sz w:val="30"/>
          <w:szCs w:val="30"/>
          <w:shd w:val="clear" w:color="auto" w:fill="FFFFFF"/>
        </w:rPr>
      </w:pPr>
      <w:r w:rsidRPr="00C41DEB">
        <w:rPr>
          <w:rFonts w:ascii="Times New Roman" w:hAnsi="Times New Roman" w:cs="Times New Roman"/>
          <w:b/>
          <w:sz w:val="30"/>
          <w:szCs w:val="30"/>
          <w:shd w:val="clear" w:color="auto" w:fill="FFFFFF"/>
        </w:rPr>
        <w:t>CÁ NHÂN</w:t>
      </w:r>
      <w:r w:rsidR="00F57065" w:rsidRPr="00C41DEB">
        <w:rPr>
          <w:rFonts w:ascii="Times New Roman" w:hAnsi="Times New Roman" w:cs="Times New Roman"/>
          <w:b/>
          <w:sz w:val="30"/>
          <w:szCs w:val="30"/>
          <w:shd w:val="clear" w:color="auto" w:fill="FFFFFF"/>
        </w:rPr>
        <w:t xml:space="preserve"> </w:t>
      </w:r>
      <w:r w:rsidR="009637D6" w:rsidRPr="00C41DEB">
        <w:rPr>
          <w:rFonts w:ascii="Times New Roman" w:hAnsi="Times New Roman" w:cs="Times New Roman"/>
          <w:b/>
          <w:sz w:val="30"/>
          <w:szCs w:val="30"/>
          <w:shd w:val="clear" w:color="auto" w:fill="FFFFFF"/>
        </w:rPr>
        <w:t xml:space="preserve">TỰ </w:t>
      </w:r>
      <w:r w:rsidR="00F57065" w:rsidRPr="00C41DEB">
        <w:rPr>
          <w:rFonts w:ascii="Times New Roman" w:hAnsi="Times New Roman" w:cs="Times New Roman"/>
          <w:b/>
          <w:sz w:val="30"/>
          <w:szCs w:val="30"/>
          <w:shd w:val="clear" w:color="auto" w:fill="FFFFFF"/>
        </w:rPr>
        <w:t>HOÀN THUẾ</w:t>
      </w:r>
      <w:r w:rsidR="005362EB" w:rsidRPr="00C41DEB">
        <w:rPr>
          <w:rFonts w:ascii="Times New Roman" w:hAnsi="Times New Roman" w:cs="Times New Roman"/>
          <w:b/>
          <w:sz w:val="30"/>
          <w:szCs w:val="30"/>
          <w:shd w:val="clear" w:color="auto" w:fill="FFFFFF"/>
        </w:rPr>
        <w:t xml:space="preserve"> </w:t>
      </w:r>
      <w:r w:rsidR="00F57065" w:rsidRPr="00C41DEB">
        <w:rPr>
          <w:rFonts w:ascii="Times New Roman" w:hAnsi="Times New Roman" w:cs="Times New Roman"/>
          <w:b/>
          <w:sz w:val="30"/>
          <w:szCs w:val="30"/>
          <w:shd w:val="clear" w:color="auto" w:fill="FFFFFF"/>
        </w:rPr>
        <w:t>TNCN CÁC NĂM CŨ BỊ BỎ QUÊN</w:t>
      </w:r>
    </w:p>
    <w:p w:rsidR="003D3607" w:rsidRPr="00C41DEB" w:rsidRDefault="003D3607">
      <w:pPr>
        <w:rPr>
          <w:rFonts w:ascii="Times New Roman" w:hAnsi="Times New Roman" w:cs="Times New Roman"/>
          <w:sz w:val="26"/>
          <w:szCs w:val="26"/>
          <w:shd w:val="clear" w:color="auto" w:fill="FFFFFF"/>
        </w:rPr>
      </w:pPr>
    </w:p>
    <w:p w:rsidR="00782DAD" w:rsidRPr="00C41DEB" w:rsidRDefault="00C4290D" w:rsidP="00C4290D">
      <w:pPr>
        <w:rPr>
          <w:rFonts w:ascii="Times New Roman" w:hAnsi="Times New Roman" w:cs="Times New Roman"/>
          <w:b/>
          <w:sz w:val="26"/>
          <w:szCs w:val="26"/>
          <w:u w:val="single"/>
        </w:rPr>
      </w:pPr>
      <w:r w:rsidRPr="00C41DEB">
        <w:rPr>
          <w:rFonts w:ascii="Times New Roman" w:hAnsi="Times New Roman" w:cs="Times New Roman"/>
          <w:b/>
          <w:sz w:val="26"/>
          <w:szCs w:val="26"/>
          <w:u w:val="single"/>
        </w:rPr>
        <w:t xml:space="preserve">I/ </w:t>
      </w:r>
      <w:r w:rsidR="00622D73" w:rsidRPr="00C41DEB">
        <w:rPr>
          <w:rFonts w:ascii="Times New Roman" w:hAnsi="Times New Roman" w:cs="Times New Roman"/>
          <w:b/>
          <w:sz w:val="26"/>
          <w:szCs w:val="26"/>
          <w:u w:val="single"/>
        </w:rPr>
        <w:t>CÓ ĐƯỢC HOÀN THUẾ TNCN CÁC NĂM CŨ CHƯA QUYẾT TOÁN?</w:t>
      </w:r>
    </w:p>
    <w:p w:rsidR="00F47554" w:rsidRPr="00C41DEB" w:rsidRDefault="00622D73" w:rsidP="00622D73">
      <w:pPr>
        <w:ind w:firstLine="720"/>
        <w:rPr>
          <w:rFonts w:ascii="Times New Roman" w:hAnsi="Times New Roman" w:cs="Times New Roman"/>
          <w:sz w:val="26"/>
          <w:szCs w:val="26"/>
          <w:shd w:val="clear" w:color="auto" w:fill="FFFFFF"/>
        </w:rPr>
      </w:pPr>
      <w:r w:rsidRPr="00C41DEB">
        <w:rPr>
          <w:rFonts w:ascii="Times New Roman" w:hAnsi="Times New Roman" w:cs="Times New Roman"/>
          <w:sz w:val="26"/>
          <w:szCs w:val="26"/>
        </w:rPr>
        <w:t xml:space="preserve">Căn cứ 1: </w:t>
      </w:r>
      <w:r w:rsidRPr="00C41DEB">
        <w:rPr>
          <w:rFonts w:ascii="Times New Roman" w:hAnsi="Times New Roman" w:cs="Times New Roman"/>
          <w:sz w:val="26"/>
          <w:szCs w:val="26"/>
          <w:shd w:val="clear" w:color="auto" w:fill="FFFFFF"/>
        </w:rPr>
        <w:t>( theo quy định tại Khoản 3, Điều 10, </w:t>
      </w:r>
      <w:hyperlink r:id="rId5" w:tgtFrame="_blank" w:history="1">
        <w:r w:rsidRPr="00C41DEB">
          <w:rPr>
            <w:rStyle w:val="Hyperlink"/>
            <w:rFonts w:ascii="Times New Roman" w:hAnsi="Times New Roman" w:cs="Times New Roman"/>
            <w:color w:val="auto"/>
            <w:sz w:val="26"/>
            <w:szCs w:val="26"/>
            <w:bdr w:val="none" w:sz="0" w:space="0" w:color="auto" w:frame="1"/>
            <w:shd w:val="clear" w:color="auto" w:fill="FFFFFF"/>
          </w:rPr>
          <w:t>Thông tư 156/2013/TT-BTC</w:t>
        </w:r>
      </w:hyperlink>
      <w:r w:rsidRPr="00C41DEB">
        <w:rPr>
          <w:rFonts w:ascii="Times New Roman" w:hAnsi="Times New Roman" w:cs="Times New Roman"/>
          <w:sz w:val="26"/>
          <w:szCs w:val="26"/>
          <w:shd w:val="clear" w:color="auto" w:fill="FFFFFF"/>
        </w:rPr>
        <w:t>, t</w:t>
      </w:r>
      <w:r w:rsidR="00F47554" w:rsidRPr="00C41DEB">
        <w:rPr>
          <w:rFonts w:ascii="Times New Roman" w:hAnsi="Times New Roman" w:cs="Times New Roman"/>
          <w:sz w:val="26"/>
          <w:szCs w:val="26"/>
        </w:rPr>
        <w:t xml:space="preserve">rước ngày hiệu lực của Luật quản lý thuế 2019, </w:t>
      </w:r>
      <w:r w:rsidR="00F47554" w:rsidRPr="00C41DEB">
        <w:rPr>
          <w:rFonts w:ascii="Times New Roman" w:hAnsi="Times New Roman" w:cs="Times New Roman"/>
          <w:sz w:val="26"/>
          <w:szCs w:val="26"/>
          <w:shd w:val="clear" w:color="auto" w:fill="FFFFFF"/>
        </w:rPr>
        <w:t xml:space="preserve">Thời hạn nộp hồ sơ quyết toán thuế TNCN là 90 ngày kể từ ngày kết thúc năm tài chính </w:t>
      </w:r>
    </w:p>
    <w:p w:rsidR="00F47554" w:rsidRPr="00C41DEB" w:rsidRDefault="00F47554" w:rsidP="00622D73">
      <w:pPr>
        <w:pStyle w:val="ListParagraph"/>
        <w:rPr>
          <w:rFonts w:ascii="Times New Roman" w:hAnsi="Times New Roman" w:cs="Times New Roman"/>
          <w:sz w:val="26"/>
          <w:szCs w:val="26"/>
        </w:rPr>
      </w:pPr>
      <w:r w:rsidRPr="00C41DEB">
        <w:rPr>
          <w:rFonts w:ascii="Times New Roman" w:hAnsi="Times New Roman" w:cs="Times New Roman"/>
          <w:sz w:val="26"/>
          <w:szCs w:val="26"/>
        </w:rPr>
        <w:t xml:space="preserve">Căn cứ </w:t>
      </w:r>
      <w:r w:rsidR="00622D73" w:rsidRPr="00C41DEB">
        <w:rPr>
          <w:rFonts w:ascii="Times New Roman" w:hAnsi="Times New Roman" w:cs="Times New Roman"/>
          <w:sz w:val="26"/>
          <w:szCs w:val="26"/>
        </w:rPr>
        <w:t xml:space="preserve">2: </w:t>
      </w:r>
      <w:r w:rsidRPr="00C41DEB">
        <w:rPr>
          <w:rFonts w:ascii="Times New Roman" w:hAnsi="Times New Roman" w:cs="Times New Roman"/>
          <w:sz w:val="26"/>
          <w:szCs w:val="26"/>
        </w:rPr>
        <w:t>Khoản 2 Điều 44 Luật quản lý thuế năm 2019</w:t>
      </w:r>
    </w:p>
    <w:p w:rsidR="00F47554" w:rsidRPr="00C41DEB" w:rsidRDefault="00F47554" w:rsidP="00F47554">
      <w:pPr>
        <w:widowControl w:val="0"/>
        <w:spacing w:after="120"/>
        <w:ind w:firstLine="720"/>
        <w:rPr>
          <w:rFonts w:ascii="Times New Roman" w:hAnsi="Times New Roman" w:cs="Times New Roman"/>
          <w:sz w:val="26"/>
          <w:szCs w:val="26"/>
        </w:rPr>
      </w:pPr>
      <w:r w:rsidRPr="00C41DEB">
        <w:rPr>
          <w:rFonts w:ascii="Times New Roman" w:hAnsi="Times New Roman" w:cs="Times New Roman"/>
          <w:sz w:val="26"/>
          <w:szCs w:val="26"/>
        </w:rPr>
        <w:t>“2. Thời hạn nộp hồ sơ khai thuế đối với loại thuế có kỳ tính thuế theo năm được quy định như sau:</w:t>
      </w:r>
    </w:p>
    <w:p w:rsidR="00F47554" w:rsidRPr="00C41DEB" w:rsidRDefault="00F47554" w:rsidP="00F47554">
      <w:pPr>
        <w:widowControl w:val="0"/>
        <w:spacing w:after="120"/>
        <w:ind w:firstLine="720"/>
        <w:rPr>
          <w:rFonts w:ascii="Times New Roman" w:hAnsi="Times New Roman" w:cs="Times New Roman"/>
          <w:sz w:val="26"/>
          <w:szCs w:val="26"/>
        </w:rPr>
      </w:pPr>
      <w:r w:rsidRPr="00C41DEB">
        <w:rPr>
          <w:rFonts w:ascii="Times New Roman" w:hAnsi="Times New Roman" w:cs="Times New Roman"/>
          <w:sz w:val="26"/>
          <w:szCs w:val="26"/>
        </w:rPr>
        <w:t>a) Chậm nhất là ngày cuối cùng của tháng thứ 3 kể từ ngày kết thúc năm dương lịch hoặc năm tài chính đối với hồ sơ quyết toán thuế năm; chậm nhất là ngày cuối cùng của tháng đầu tiên của năm dương lịch hoặc năm tài chính đối với hồ sơ khai thuế năm;</w:t>
      </w:r>
    </w:p>
    <w:p w:rsidR="00F47554" w:rsidRPr="00C41DEB" w:rsidRDefault="00F47554" w:rsidP="00F47554">
      <w:pPr>
        <w:widowControl w:val="0"/>
        <w:spacing w:after="120"/>
        <w:ind w:firstLine="720"/>
        <w:rPr>
          <w:rFonts w:ascii="Times New Roman" w:hAnsi="Times New Roman" w:cs="Times New Roman"/>
          <w:spacing w:val="2"/>
          <w:sz w:val="26"/>
          <w:szCs w:val="26"/>
        </w:rPr>
      </w:pPr>
      <w:r w:rsidRPr="00C41DEB">
        <w:rPr>
          <w:rFonts w:ascii="Times New Roman" w:hAnsi="Times New Roman" w:cs="Times New Roman"/>
          <w:spacing w:val="2"/>
          <w:sz w:val="26"/>
          <w:szCs w:val="26"/>
        </w:rPr>
        <w:t>b) Chậm nhất là ngày cuối cùng của tháng thứ 4 kể từ ngày kết thúc năm dương lịch đối với hồ sơ quyết toán thuế thu nhập cá nhân của cá nhân trực tiếp quyết toán thuế;</w:t>
      </w:r>
    </w:p>
    <w:p w:rsidR="00C4290D" w:rsidRPr="00534E5A" w:rsidRDefault="00C4290D" w:rsidP="00F47554">
      <w:pPr>
        <w:rPr>
          <w:rFonts w:ascii="Times New Roman" w:hAnsi="Times New Roman" w:cs="Times New Roman"/>
          <w:b/>
          <w:sz w:val="26"/>
          <w:szCs w:val="26"/>
        </w:rPr>
      </w:pPr>
      <w:r w:rsidRPr="00534E5A">
        <w:rPr>
          <w:rFonts w:ascii="Times New Roman" w:hAnsi="Times New Roman" w:cs="Times New Roman"/>
          <w:b/>
          <w:sz w:val="26"/>
          <w:szCs w:val="26"/>
        </w:rPr>
        <w:t xml:space="preserve">KẾT LUẬN VẤN ĐỀ 1: </w:t>
      </w:r>
    </w:p>
    <w:p w:rsidR="00F47554" w:rsidRPr="00C41DEB" w:rsidRDefault="00F47554" w:rsidP="00F47554">
      <w:pPr>
        <w:rPr>
          <w:rFonts w:ascii="Times New Roman" w:hAnsi="Times New Roman" w:cs="Times New Roman"/>
          <w:spacing w:val="2"/>
          <w:sz w:val="26"/>
          <w:szCs w:val="26"/>
        </w:rPr>
      </w:pPr>
      <w:r w:rsidRPr="00800E72">
        <w:rPr>
          <w:rFonts w:ascii="Times New Roman" w:hAnsi="Times New Roman" w:cs="Times New Roman"/>
          <w:sz w:val="26"/>
          <w:szCs w:val="26"/>
        </w:rPr>
        <w:t xml:space="preserve">Vậy kể từ 01/07/2020, </w:t>
      </w:r>
      <w:r w:rsidRPr="00C41DEB">
        <w:rPr>
          <w:rFonts w:ascii="Times New Roman" w:hAnsi="Times New Roman" w:cs="Times New Roman"/>
          <w:spacing w:val="2"/>
          <w:sz w:val="26"/>
          <w:szCs w:val="26"/>
        </w:rPr>
        <w:t>Chậm nhất là ngày cuối cùng của tháng thứ 4 kể từ ngày kết thúc năm dương lịch là hạn cuối cùng của thời hạn quyết toán thuế</w:t>
      </w:r>
      <w:r w:rsidR="00E914F6">
        <w:rPr>
          <w:rFonts w:ascii="Times New Roman" w:hAnsi="Times New Roman" w:cs="Times New Roman"/>
          <w:spacing w:val="2"/>
          <w:sz w:val="26"/>
          <w:szCs w:val="26"/>
        </w:rPr>
        <w:t xml:space="preserve"> n</w:t>
      </w:r>
      <w:r w:rsidR="00E914F6" w:rsidRPr="00E914F6">
        <w:rPr>
          <w:rFonts w:ascii="Times New Roman" w:hAnsi="Times New Roman" w:cs="Times New Roman"/>
          <w:spacing w:val="2"/>
          <w:sz w:val="26"/>
          <w:szCs w:val="26"/>
        </w:rPr>
        <w:t>ă</w:t>
      </w:r>
      <w:r w:rsidR="00E914F6">
        <w:rPr>
          <w:rFonts w:ascii="Times New Roman" w:hAnsi="Times New Roman" w:cs="Times New Roman"/>
          <w:spacing w:val="2"/>
          <w:sz w:val="26"/>
          <w:szCs w:val="26"/>
        </w:rPr>
        <w:t>m 2020</w:t>
      </w:r>
      <w:r w:rsidRPr="00C41DEB">
        <w:rPr>
          <w:rFonts w:ascii="Times New Roman" w:hAnsi="Times New Roman" w:cs="Times New Roman"/>
          <w:spacing w:val="2"/>
          <w:sz w:val="26"/>
          <w:szCs w:val="26"/>
        </w:rPr>
        <w:t>”</w:t>
      </w:r>
    </w:p>
    <w:p w:rsidR="00F47554" w:rsidRPr="00C41DEB" w:rsidRDefault="00F47554" w:rsidP="004273C0">
      <w:pPr>
        <w:pStyle w:val="ListParagraph"/>
        <w:widowControl w:val="0"/>
        <w:numPr>
          <w:ilvl w:val="0"/>
          <w:numId w:val="2"/>
        </w:numPr>
        <w:spacing w:after="120"/>
        <w:rPr>
          <w:rFonts w:ascii="Times New Roman" w:hAnsi="Times New Roman" w:cs="Times New Roman"/>
          <w:spacing w:val="2"/>
          <w:sz w:val="26"/>
          <w:szCs w:val="26"/>
        </w:rPr>
      </w:pPr>
      <w:r w:rsidRPr="00C41DEB">
        <w:rPr>
          <w:rFonts w:ascii="Times New Roman" w:hAnsi="Times New Roman" w:cs="Times New Roman"/>
          <w:spacing w:val="2"/>
          <w:sz w:val="26"/>
          <w:szCs w:val="26"/>
        </w:rPr>
        <w:t xml:space="preserve">Như vậy, tính đến thời điểm này, bạn đã hết thời hạn nộp hồ sơ quyết toán thuế thu nhập cá nhân năm 2016, </w:t>
      </w:r>
      <w:r w:rsidR="00C41B40" w:rsidRPr="00C41DEB">
        <w:rPr>
          <w:rFonts w:ascii="Times New Roman" w:hAnsi="Times New Roman" w:cs="Times New Roman"/>
          <w:spacing w:val="2"/>
          <w:sz w:val="26"/>
          <w:szCs w:val="26"/>
        </w:rPr>
        <w:t>2017</w:t>
      </w:r>
      <w:r w:rsidR="00D42DFE" w:rsidRPr="00C41DEB">
        <w:rPr>
          <w:rFonts w:ascii="Times New Roman" w:hAnsi="Times New Roman" w:cs="Times New Roman"/>
          <w:spacing w:val="2"/>
          <w:sz w:val="26"/>
          <w:szCs w:val="26"/>
        </w:rPr>
        <w:t>, 2018</w:t>
      </w:r>
      <w:r w:rsidRPr="00C41DEB">
        <w:rPr>
          <w:rFonts w:ascii="Times New Roman" w:hAnsi="Times New Roman" w:cs="Times New Roman"/>
          <w:spacing w:val="2"/>
          <w:sz w:val="26"/>
          <w:szCs w:val="26"/>
        </w:rPr>
        <w:t>; Bạn lưu ý theo Luật quản lý thuế mới, thời hạn này được kéo hạn thêm 1 tháng so với quy đị</w:t>
      </w:r>
      <w:r w:rsidR="005E6AB8">
        <w:rPr>
          <w:rFonts w:ascii="Times New Roman" w:hAnsi="Times New Roman" w:cs="Times New Roman"/>
          <w:spacing w:val="2"/>
          <w:sz w:val="26"/>
          <w:szCs w:val="26"/>
        </w:rPr>
        <w:t>nh</w:t>
      </w:r>
      <w:r w:rsidRPr="00C41DEB">
        <w:rPr>
          <w:rFonts w:ascii="Times New Roman" w:hAnsi="Times New Roman" w:cs="Times New Roman"/>
          <w:spacing w:val="2"/>
          <w:sz w:val="26"/>
          <w:szCs w:val="26"/>
        </w:rPr>
        <w:t xml:space="preserve"> cũ (TT 156/2013/TT-BTC)</w:t>
      </w:r>
      <w:r w:rsidR="00D42DFE" w:rsidRPr="00C41DEB">
        <w:rPr>
          <w:rFonts w:ascii="Times New Roman" w:hAnsi="Times New Roman" w:cs="Times New Roman"/>
          <w:spacing w:val="2"/>
          <w:sz w:val="26"/>
          <w:szCs w:val="26"/>
        </w:rPr>
        <w:t>, tức là thời hạn cuối nộp tờ khai quyết toán thuế</w:t>
      </w:r>
      <w:r w:rsidR="00800E72">
        <w:rPr>
          <w:rFonts w:ascii="Times New Roman" w:hAnsi="Times New Roman" w:cs="Times New Roman"/>
          <w:spacing w:val="2"/>
          <w:sz w:val="26"/>
          <w:szCs w:val="26"/>
        </w:rPr>
        <w:t xml:space="preserve"> TNCN năm 2020</w:t>
      </w:r>
      <w:r w:rsidR="00D42DFE" w:rsidRPr="00C41DEB">
        <w:rPr>
          <w:rFonts w:ascii="Times New Roman" w:hAnsi="Times New Roman" w:cs="Times New Roman"/>
          <w:spacing w:val="2"/>
          <w:sz w:val="26"/>
          <w:szCs w:val="26"/>
        </w:rPr>
        <w:t xml:space="preserve"> của bạn là 30/04/202</w:t>
      </w:r>
      <w:r w:rsidR="00800E72">
        <w:rPr>
          <w:rFonts w:ascii="Times New Roman" w:hAnsi="Times New Roman" w:cs="Times New Roman"/>
          <w:spacing w:val="2"/>
          <w:sz w:val="26"/>
          <w:szCs w:val="26"/>
        </w:rPr>
        <w:t>1</w:t>
      </w:r>
      <w:r w:rsidR="00005030" w:rsidRPr="00C41DEB">
        <w:rPr>
          <w:rFonts w:ascii="Times New Roman" w:hAnsi="Times New Roman" w:cs="Times New Roman"/>
          <w:spacing w:val="2"/>
          <w:sz w:val="26"/>
          <w:szCs w:val="26"/>
        </w:rPr>
        <w:t xml:space="preserve">. </w:t>
      </w:r>
    </w:p>
    <w:p w:rsidR="00404119" w:rsidRPr="00C41DEB" w:rsidRDefault="00005030" w:rsidP="004273C0">
      <w:pPr>
        <w:pStyle w:val="ListParagraph"/>
        <w:widowControl w:val="0"/>
        <w:numPr>
          <w:ilvl w:val="0"/>
          <w:numId w:val="2"/>
        </w:numPr>
        <w:spacing w:after="120"/>
        <w:rPr>
          <w:rFonts w:ascii="Times New Roman" w:hAnsi="Times New Roman" w:cs="Times New Roman"/>
          <w:spacing w:val="2"/>
          <w:sz w:val="26"/>
          <w:szCs w:val="26"/>
        </w:rPr>
      </w:pPr>
      <w:r w:rsidRPr="00C41DEB">
        <w:rPr>
          <w:rFonts w:ascii="Times New Roman" w:hAnsi="Times New Roman" w:cs="Times New Roman"/>
          <w:spacing w:val="2"/>
          <w:sz w:val="26"/>
          <w:szCs w:val="26"/>
        </w:rPr>
        <w:t>Do vậy, việc xin hoàn thuế các năm cũ</w:t>
      </w:r>
      <w:r w:rsidR="00404119" w:rsidRPr="00C41DEB">
        <w:rPr>
          <w:rFonts w:ascii="Times New Roman" w:hAnsi="Times New Roman" w:cs="Times New Roman"/>
          <w:spacing w:val="2"/>
          <w:sz w:val="26"/>
          <w:szCs w:val="26"/>
        </w:rPr>
        <w:t xml:space="preserve"> vẫn thực hiện được nhưng bạn sẽ bị phạt do chậm nộp tờ khai quyết toán thuế TNCN.</w:t>
      </w:r>
    </w:p>
    <w:p w:rsidR="00005030" w:rsidRPr="00C41DEB" w:rsidRDefault="00005030" w:rsidP="00005030">
      <w:pPr>
        <w:pStyle w:val="ListParagraph"/>
        <w:widowControl w:val="0"/>
        <w:spacing w:after="120"/>
        <w:ind w:left="1080"/>
        <w:rPr>
          <w:rFonts w:ascii="Times New Roman" w:hAnsi="Times New Roman" w:cs="Times New Roman"/>
          <w:spacing w:val="2"/>
          <w:sz w:val="26"/>
          <w:szCs w:val="26"/>
        </w:rPr>
      </w:pPr>
    </w:p>
    <w:p w:rsidR="00404119" w:rsidRPr="00C41DEB" w:rsidRDefault="00404119" w:rsidP="00404119">
      <w:pPr>
        <w:pStyle w:val="ListParagraph"/>
        <w:widowControl w:val="0"/>
        <w:spacing w:after="120"/>
        <w:ind w:left="1080"/>
        <w:rPr>
          <w:rFonts w:ascii="Times New Roman" w:hAnsi="Times New Roman" w:cs="Times New Roman"/>
          <w:b/>
          <w:spacing w:val="2"/>
          <w:sz w:val="26"/>
          <w:szCs w:val="26"/>
          <w:u w:val="single"/>
        </w:rPr>
      </w:pPr>
      <w:r w:rsidRPr="00C41DEB">
        <w:rPr>
          <w:rFonts w:ascii="Times New Roman" w:hAnsi="Times New Roman" w:cs="Times New Roman"/>
          <w:b/>
          <w:spacing w:val="2"/>
          <w:sz w:val="26"/>
          <w:szCs w:val="26"/>
          <w:u w:val="single"/>
        </w:rPr>
        <w:t>II. MỨC PHẠT CHO CHẬ</w:t>
      </w:r>
      <w:r w:rsidR="00723CF2">
        <w:rPr>
          <w:rFonts w:ascii="Times New Roman" w:hAnsi="Times New Roman" w:cs="Times New Roman"/>
          <w:b/>
          <w:spacing w:val="2"/>
          <w:sz w:val="26"/>
          <w:szCs w:val="26"/>
          <w:u w:val="single"/>
        </w:rPr>
        <w:t>M NÔP TỜ</w:t>
      </w:r>
      <w:r w:rsidRPr="00C41DEB">
        <w:rPr>
          <w:rFonts w:ascii="Times New Roman" w:hAnsi="Times New Roman" w:cs="Times New Roman"/>
          <w:b/>
          <w:spacing w:val="2"/>
          <w:sz w:val="26"/>
          <w:szCs w:val="26"/>
          <w:u w:val="single"/>
        </w:rPr>
        <w:t xml:space="preserve"> KHAI ĐỐI VỚI CÁ NHÂN</w:t>
      </w:r>
    </w:p>
    <w:p w:rsidR="00404119" w:rsidRPr="00C41DEB" w:rsidRDefault="00404119" w:rsidP="00404119">
      <w:pPr>
        <w:pStyle w:val="NormalWeb"/>
        <w:shd w:val="clear" w:color="auto" w:fill="FFFFFF"/>
        <w:spacing w:before="0" w:beforeAutospacing="0" w:after="150" w:afterAutospacing="0"/>
        <w:jc w:val="both"/>
        <w:rPr>
          <w:sz w:val="26"/>
          <w:szCs w:val="26"/>
        </w:rPr>
      </w:pPr>
      <w:r w:rsidRPr="00C41DEB">
        <w:rPr>
          <w:spacing w:val="2"/>
          <w:sz w:val="26"/>
          <w:szCs w:val="26"/>
        </w:rPr>
        <w:t>Căn cứ</w:t>
      </w:r>
      <w:r w:rsidR="00A01052" w:rsidRPr="00A01052">
        <w:rPr>
          <w:b/>
          <w:spacing w:val="2"/>
          <w:sz w:val="26"/>
          <w:szCs w:val="26"/>
        </w:rPr>
        <w:t xml:space="preserve"> </w:t>
      </w:r>
      <w:r w:rsidRPr="00C41DEB">
        <w:rPr>
          <w:sz w:val="26"/>
          <w:szCs w:val="26"/>
        </w:rPr>
        <w:t>Điều 9 </w:t>
      </w:r>
      <w:hyperlink r:id="rId6" w:tgtFrame="_blank" w:history="1">
        <w:r w:rsidRPr="00C41DEB">
          <w:rPr>
            <w:rStyle w:val="Hyperlink"/>
            <w:color w:val="auto"/>
            <w:sz w:val="26"/>
            <w:szCs w:val="26"/>
            <w:u w:val="none"/>
          </w:rPr>
          <w:t>Thông tư 166/2013/TT-BTC</w:t>
        </w:r>
      </w:hyperlink>
      <w:r w:rsidRPr="00C41DEB">
        <w:rPr>
          <w:sz w:val="26"/>
          <w:szCs w:val="26"/>
        </w:rPr>
        <w:t> quy định về mức xử phạt vi phạm hành chính đối với hành vi nộp hồ sơ quyết toán thuế TNCN quá thời hạn quy định như sau:</w:t>
      </w:r>
    </w:p>
    <w:p w:rsidR="00404119" w:rsidRPr="00C41DEB" w:rsidRDefault="00404119" w:rsidP="00404119">
      <w:pPr>
        <w:numPr>
          <w:ilvl w:val="0"/>
          <w:numId w:val="4"/>
        </w:numPr>
        <w:shd w:val="clear" w:color="auto" w:fill="FFFFFF"/>
        <w:spacing w:before="100" w:beforeAutospacing="1" w:after="100" w:afterAutospacing="1" w:line="240" w:lineRule="auto"/>
        <w:ind w:left="0"/>
        <w:rPr>
          <w:rFonts w:ascii="Times New Roman" w:hAnsi="Times New Roman" w:cs="Times New Roman"/>
          <w:sz w:val="26"/>
          <w:szCs w:val="26"/>
        </w:rPr>
      </w:pPr>
      <w:r w:rsidRPr="00C41DEB">
        <w:rPr>
          <w:rFonts w:ascii="Times New Roman" w:hAnsi="Times New Roman" w:cs="Times New Roman"/>
          <w:sz w:val="26"/>
          <w:szCs w:val="26"/>
        </w:rPr>
        <w:lastRenderedPageBreak/>
        <w:t>Từ 01 ngày đến 05 ngày mà có tình tiết giảm nhẹ: Phạt cảnh cáo.</w:t>
      </w:r>
    </w:p>
    <w:p w:rsidR="00404119" w:rsidRPr="00C41DEB" w:rsidRDefault="00404119" w:rsidP="00404119">
      <w:pPr>
        <w:numPr>
          <w:ilvl w:val="0"/>
          <w:numId w:val="4"/>
        </w:numPr>
        <w:shd w:val="clear" w:color="auto" w:fill="FFFFFF"/>
        <w:spacing w:before="100" w:beforeAutospacing="1" w:after="100" w:afterAutospacing="1" w:line="240" w:lineRule="auto"/>
        <w:ind w:left="0"/>
        <w:rPr>
          <w:rFonts w:ascii="Times New Roman" w:hAnsi="Times New Roman" w:cs="Times New Roman"/>
          <w:sz w:val="26"/>
          <w:szCs w:val="26"/>
        </w:rPr>
      </w:pPr>
      <w:r w:rsidRPr="00C41DEB">
        <w:rPr>
          <w:rFonts w:ascii="Times New Roman" w:hAnsi="Times New Roman" w:cs="Times New Roman"/>
          <w:sz w:val="26"/>
          <w:szCs w:val="26"/>
        </w:rPr>
        <w:t>Từ 01 ngày đến 10 ngày: Phạt tiền từ 400.000 đồng đến 1.000.000 đồng.</w:t>
      </w:r>
    </w:p>
    <w:p w:rsidR="00404119" w:rsidRPr="00C41DEB" w:rsidRDefault="00404119" w:rsidP="00404119">
      <w:pPr>
        <w:numPr>
          <w:ilvl w:val="0"/>
          <w:numId w:val="4"/>
        </w:numPr>
        <w:shd w:val="clear" w:color="auto" w:fill="FFFFFF"/>
        <w:spacing w:before="100" w:beforeAutospacing="1" w:after="100" w:afterAutospacing="1" w:line="240" w:lineRule="auto"/>
        <w:ind w:left="0"/>
        <w:rPr>
          <w:rFonts w:ascii="Times New Roman" w:hAnsi="Times New Roman" w:cs="Times New Roman"/>
          <w:sz w:val="26"/>
          <w:szCs w:val="26"/>
        </w:rPr>
      </w:pPr>
      <w:r w:rsidRPr="00C41DEB">
        <w:rPr>
          <w:rFonts w:ascii="Times New Roman" w:hAnsi="Times New Roman" w:cs="Times New Roman"/>
          <w:sz w:val="26"/>
          <w:szCs w:val="26"/>
        </w:rPr>
        <w:t>Từ trên 10 ngày đến 20 ngày: Phạt tiền từ 800.000 đồng đến 2.000.000 đồng.</w:t>
      </w:r>
    </w:p>
    <w:p w:rsidR="00404119" w:rsidRPr="00C41DEB" w:rsidRDefault="00404119" w:rsidP="00404119">
      <w:pPr>
        <w:numPr>
          <w:ilvl w:val="0"/>
          <w:numId w:val="4"/>
        </w:numPr>
        <w:shd w:val="clear" w:color="auto" w:fill="FFFFFF"/>
        <w:spacing w:before="100" w:beforeAutospacing="1" w:after="100" w:afterAutospacing="1" w:line="240" w:lineRule="auto"/>
        <w:ind w:left="0"/>
        <w:rPr>
          <w:rFonts w:ascii="Times New Roman" w:hAnsi="Times New Roman" w:cs="Times New Roman"/>
          <w:sz w:val="26"/>
          <w:szCs w:val="26"/>
        </w:rPr>
      </w:pPr>
      <w:r w:rsidRPr="00C41DEB">
        <w:rPr>
          <w:rFonts w:ascii="Times New Roman" w:hAnsi="Times New Roman" w:cs="Times New Roman"/>
          <w:sz w:val="26"/>
          <w:szCs w:val="26"/>
        </w:rPr>
        <w:t>Từ trên 20 ngày đến 30 ngày: Phạt tiền từ 1.200.000 đồng đến 3.000.000 đồng.</w:t>
      </w:r>
    </w:p>
    <w:p w:rsidR="00404119" w:rsidRPr="00C41DEB" w:rsidRDefault="00404119" w:rsidP="00404119">
      <w:pPr>
        <w:numPr>
          <w:ilvl w:val="0"/>
          <w:numId w:val="4"/>
        </w:numPr>
        <w:shd w:val="clear" w:color="auto" w:fill="FFFFFF"/>
        <w:spacing w:before="100" w:beforeAutospacing="1" w:after="100" w:afterAutospacing="1" w:line="240" w:lineRule="auto"/>
        <w:ind w:left="0"/>
        <w:rPr>
          <w:rFonts w:ascii="Times New Roman" w:hAnsi="Times New Roman" w:cs="Times New Roman"/>
          <w:sz w:val="26"/>
          <w:szCs w:val="26"/>
        </w:rPr>
      </w:pPr>
      <w:r w:rsidRPr="00C41DEB">
        <w:rPr>
          <w:rFonts w:ascii="Times New Roman" w:hAnsi="Times New Roman" w:cs="Times New Roman"/>
          <w:sz w:val="26"/>
          <w:szCs w:val="26"/>
        </w:rPr>
        <w:t>Từ trên 30 ngày đến 40 ngày: Phạt tiền từ 1.600.000 đồng đến 4.000.000 đồng.</w:t>
      </w:r>
    </w:p>
    <w:p w:rsidR="00404119" w:rsidRPr="00C41DEB" w:rsidRDefault="00404119" w:rsidP="00404119">
      <w:pPr>
        <w:numPr>
          <w:ilvl w:val="0"/>
          <w:numId w:val="4"/>
        </w:numPr>
        <w:shd w:val="clear" w:color="auto" w:fill="FFFFFF"/>
        <w:spacing w:before="100" w:beforeAutospacing="1" w:after="100" w:afterAutospacing="1" w:line="240" w:lineRule="auto"/>
        <w:ind w:left="0"/>
        <w:rPr>
          <w:rFonts w:ascii="Times New Roman" w:hAnsi="Times New Roman" w:cs="Times New Roman"/>
          <w:sz w:val="26"/>
          <w:szCs w:val="26"/>
        </w:rPr>
      </w:pPr>
      <w:r w:rsidRPr="00C41DEB">
        <w:rPr>
          <w:rFonts w:ascii="Times New Roman" w:hAnsi="Times New Roman" w:cs="Times New Roman"/>
          <w:sz w:val="26"/>
          <w:szCs w:val="26"/>
        </w:rPr>
        <w:t>Từ trên 40 ngày đến 90 ngày hoặc quá 90 ngày nhưng không phát sinh số thuế phải nộp: Phạt tiền từ 2.000.000 đồng đến 5.000.000 đồng.</w:t>
      </w:r>
    </w:p>
    <w:p w:rsidR="00404119" w:rsidRPr="00C41DEB" w:rsidRDefault="00404119" w:rsidP="00404119">
      <w:pPr>
        <w:pStyle w:val="NormalWeb"/>
        <w:shd w:val="clear" w:color="auto" w:fill="FFFFFF"/>
        <w:spacing w:before="0" w:beforeAutospacing="0" w:after="150" w:afterAutospacing="0"/>
        <w:jc w:val="both"/>
        <w:rPr>
          <w:b/>
          <w:sz w:val="26"/>
          <w:szCs w:val="26"/>
          <w:u w:val="single"/>
        </w:rPr>
      </w:pPr>
      <w:r w:rsidRPr="00C41DEB">
        <w:rPr>
          <w:sz w:val="26"/>
          <w:szCs w:val="26"/>
        </w:rPr>
        <w:t xml:space="preserve">Mức phạt tiền nêu trên là mức phạt áp dụng đối với tổ chức. Mức phạt tiền đối với cá nhân bằng ½ mức phạt tiền đối với tổ chức. </w:t>
      </w:r>
    </w:p>
    <w:p w:rsidR="00404119" w:rsidRPr="00C41DEB" w:rsidRDefault="00404119" w:rsidP="00404119">
      <w:pPr>
        <w:pStyle w:val="NormalWeb"/>
        <w:shd w:val="clear" w:color="auto" w:fill="FFFFFF"/>
        <w:spacing w:before="0" w:beforeAutospacing="0" w:after="150" w:afterAutospacing="0"/>
        <w:jc w:val="both"/>
        <w:rPr>
          <w:b/>
          <w:sz w:val="26"/>
          <w:szCs w:val="26"/>
          <w:u w:val="single"/>
        </w:rPr>
      </w:pPr>
      <w:r w:rsidRPr="00C41DEB">
        <w:rPr>
          <w:b/>
          <w:sz w:val="26"/>
          <w:szCs w:val="26"/>
          <w:u w:val="single"/>
        </w:rPr>
        <w:t>III/ NƠI NỘP HỒ SƠ QUYẾT TOÁN THUẾ TNCN NĂM CŨ CỦA CÁ NHÂN</w:t>
      </w:r>
      <w:r w:rsidRPr="00C41DEB">
        <w:rPr>
          <w:b/>
          <w:sz w:val="26"/>
          <w:szCs w:val="26"/>
          <w:u w:val="single"/>
        </w:rPr>
        <w:br/>
      </w:r>
    </w:p>
    <w:p w:rsidR="00404119" w:rsidRPr="00C41DEB" w:rsidRDefault="00404119" w:rsidP="00404119">
      <w:pPr>
        <w:pStyle w:val="NormalWeb"/>
        <w:shd w:val="clear" w:color="auto" w:fill="FFFFFF"/>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Theo c2 khoản 3 điều 21 thông tư 92/2015/TT-BTC quy định về Cơ quan thuế tiếp nhận hồ sơ quyết toán thuế quy định như sau: </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c.2) Nơi nộp hồ sơ quyết toán thuế</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c.2.1) Cá nhân có thu nhập từ tiền lương, tiền công trực tiếp khai thuế thì nơi nộp hồ sơ quyết toán thuế là Cục Thuế nơi cá nhân đã nộp hồ sơ khai thuế trong năm.</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c.2.2) Cá nhân có thu nhập từ tiền lương, tiền công từ hai nơi trở lên thuộc diện trực tiếp quyết toán thuế với cơ quan thuế thì nơi nộp hồ sơ quyết toán thuế như sau:</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 Cá nhân đã tính giảm trừ gia cảnh cho bản thân tại tổ chức, cá nhân trả thu nhập nào thì nộp hồ sơ quyết toán thuế tại cơ quan thuế trực tiếp quản lý tổ chức, cá nhân trả thu nhập đó. Trường hợp cá nhân có thay đổi nơi làm việc và tại tổ chức, cá nhân trả thu nhập cuối cùng có tính giảm trừ gia cảnh cho bản thân thì nộp hồ sơ quyết toán thuế tại cơ quan thuế quản lý tổ chức, cá nhân trả thu nhập cuối cùng. Trường hợp cá nhân có thay đổi nơi làm việc và tại tổ chức, cá nhân trả thu nhập cuối cùng không tính giảm trừ gia cảnh cho bản thân thì nộp hồ sơ quyết toán thuế tại Chi cục Thuế nơi cá nhân cư trú (nơi thường trú hoặc tạm trú).</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 Trường hợp cá nhân chưa tính giảm trừ gia cảnh cho bản thân ở bất cứ tổ chức, cá nhân trả thu nhập nào thì nộp hồ sơ quyết toán thuế tại Chi cục Thuế nơi cá nhân cư trú (nơi thường trú hoặc tạm trú).</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c.2.3) Trường hợp cá nhân không ký </w:t>
      </w:r>
      <w:hyperlink r:id="rId7" w:tooltip="hợp đồng lao động" w:history="1">
        <w:r w:rsidRPr="00C41DEB">
          <w:rPr>
            <w:rStyle w:val="Hyperlink"/>
            <w:color w:val="auto"/>
            <w:sz w:val="26"/>
            <w:szCs w:val="26"/>
            <w:u w:val="none"/>
            <w:bdr w:val="none" w:sz="0" w:space="0" w:color="auto" w:frame="1"/>
          </w:rPr>
          <w:t>hợp đồng lao động</w:t>
        </w:r>
      </w:hyperlink>
      <w:r w:rsidRPr="00C41DEB">
        <w:rPr>
          <w:sz w:val="26"/>
          <w:szCs w:val="26"/>
          <w:bdr w:val="none" w:sz="0" w:space="0" w:color="auto" w:frame="1"/>
        </w:rPr>
        <w:t>, hoặc ký hợp đồng lao động dưới 03 (ba) tháng, hoặc ký hợp đồng cung cấp dịch vụ có thu nhập tại một nơi hoặc nhiều nơi đã khấu trừ 10% thì quyết toán thuế tại Chi cục Thuế nơi cá nhân cư trú (nơi thường trú hoặc tạm trú).</w:t>
      </w:r>
    </w:p>
    <w:p w:rsidR="00404119" w:rsidRPr="00C41DEB" w:rsidRDefault="00404119" w:rsidP="00404119">
      <w:pPr>
        <w:pStyle w:val="NormalWeb"/>
        <w:spacing w:before="0" w:beforeAutospacing="0" w:after="0" w:afterAutospacing="0" w:line="375" w:lineRule="atLeast"/>
        <w:jc w:val="both"/>
        <w:textAlignment w:val="baseline"/>
        <w:rPr>
          <w:sz w:val="26"/>
          <w:szCs w:val="26"/>
          <w:bdr w:val="none" w:sz="0" w:space="0" w:color="auto" w:frame="1"/>
        </w:rPr>
      </w:pPr>
      <w:r w:rsidRPr="00C41DEB">
        <w:rPr>
          <w:sz w:val="26"/>
          <w:szCs w:val="26"/>
          <w:bdr w:val="none" w:sz="0" w:space="0" w:color="auto" w:frame="1"/>
        </w:rPr>
        <w:t xml:space="preserve">c.2.4) Cá nhân trong năm có thu nhập từ tiền lương, tiền công tại một nơi hoặc nhiều nơi nhưng tại thời điểm quyết toán không làm việc tại tổ chức, cá nhân trả thu nhập nào thì </w:t>
      </w:r>
      <w:r w:rsidRPr="00C41DEB">
        <w:rPr>
          <w:sz w:val="26"/>
          <w:szCs w:val="26"/>
          <w:bdr w:val="none" w:sz="0" w:space="0" w:color="auto" w:frame="1"/>
        </w:rPr>
        <w:lastRenderedPageBreak/>
        <w:t>nơi nộp hồ sơ quyết toán thuế là Chi cục Thuế nơi cá nhân cư trú (nơi thường trú hoặc tạm trú).</w:t>
      </w:r>
    </w:p>
    <w:p w:rsidR="00404119" w:rsidRPr="00C41DEB" w:rsidRDefault="00404119" w:rsidP="00404119">
      <w:pPr>
        <w:pStyle w:val="NormalWeb"/>
        <w:shd w:val="clear" w:color="auto" w:fill="FFFFFF"/>
        <w:spacing w:before="0" w:beforeAutospacing="0" w:after="150" w:afterAutospacing="0"/>
        <w:jc w:val="both"/>
        <w:rPr>
          <w:b/>
          <w:sz w:val="26"/>
          <w:szCs w:val="26"/>
          <w:u w:val="single"/>
        </w:rPr>
      </w:pPr>
    </w:p>
    <w:p w:rsidR="00AF5028" w:rsidRPr="00C41DEB" w:rsidRDefault="00AF5028" w:rsidP="00404119">
      <w:pPr>
        <w:pStyle w:val="NormalWeb"/>
        <w:shd w:val="clear" w:color="auto" w:fill="FFFFFF"/>
        <w:spacing w:before="0" w:beforeAutospacing="0" w:after="150" w:afterAutospacing="0"/>
        <w:jc w:val="both"/>
        <w:rPr>
          <w:b/>
          <w:sz w:val="26"/>
          <w:szCs w:val="26"/>
          <w:u w:val="single"/>
        </w:rPr>
      </w:pPr>
      <w:r w:rsidRPr="00BC7589">
        <w:rPr>
          <w:b/>
          <w:sz w:val="26"/>
          <w:szCs w:val="26"/>
          <w:shd w:val="clear" w:color="auto" w:fill="FFFFFF"/>
        </w:rPr>
        <w:t>KẾT LUẬN,</w:t>
      </w:r>
      <w:r w:rsidRPr="00C41DEB">
        <w:rPr>
          <w:sz w:val="26"/>
          <w:szCs w:val="26"/>
          <w:shd w:val="clear" w:color="auto" w:fill="FFFFFF"/>
        </w:rPr>
        <w:t xml:space="preserve"> trong trường hợp của bạn đưa ra thì bạn sẽ nộp hồ sơ quyết toán tại nơi cư trú (thường trú hoặc tạm trú).</w:t>
      </w:r>
    </w:p>
    <w:p w:rsidR="00404119" w:rsidRPr="00C41DEB" w:rsidRDefault="00404119" w:rsidP="00404119">
      <w:pPr>
        <w:pStyle w:val="ListParagraph"/>
        <w:widowControl w:val="0"/>
        <w:spacing w:after="120"/>
        <w:ind w:left="1080"/>
        <w:rPr>
          <w:rFonts w:ascii="Times New Roman" w:hAnsi="Times New Roman" w:cs="Times New Roman"/>
          <w:b/>
          <w:spacing w:val="2"/>
          <w:sz w:val="26"/>
          <w:szCs w:val="26"/>
          <w:u w:val="single"/>
        </w:rPr>
      </w:pPr>
    </w:p>
    <w:p w:rsidR="00005030" w:rsidRPr="00C41DEB" w:rsidRDefault="00AF5028" w:rsidP="00C4290D">
      <w:pPr>
        <w:widowControl w:val="0"/>
        <w:spacing w:after="120"/>
        <w:rPr>
          <w:rFonts w:ascii="Times New Roman" w:hAnsi="Times New Roman" w:cs="Times New Roman"/>
          <w:b/>
          <w:spacing w:val="2"/>
          <w:sz w:val="26"/>
          <w:szCs w:val="26"/>
          <w:u w:val="single"/>
        </w:rPr>
      </w:pPr>
      <w:r w:rsidRPr="00C41DEB">
        <w:rPr>
          <w:rFonts w:ascii="Times New Roman" w:hAnsi="Times New Roman" w:cs="Times New Roman"/>
          <w:b/>
          <w:spacing w:val="2"/>
          <w:sz w:val="26"/>
          <w:szCs w:val="26"/>
          <w:u w:val="single"/>
        </w:rPr>
        <w:t>IV</w:t>
      </w:r>
      <w:r w:rsidR="00C4290D" w:rsidRPr="00C41DEB">
        <w:rPr>
          <w:rFonts w:ascii="Times New Roman" w:hAnsi="Times New Roman" w:cs="Times New Roman"/>
          <w:b/>
          <w:spacing w:val="2"/>
          <w:sz w:val="26"/>
          <w:szCs w:val="26"/>
          <w:u w:val="single"/>
        </w:rPr>
        <w:t xml:space="preserve">/ </w:t>
      </w:r>
      <w:r w:rsidR="00D42DFE" w:rsidRPr="00C41DEB">
        <w:rPr>
          <w:rFonts w:ascii="Times New Roman" w:hAnsi="Times New Roman" w:cs="Times New Roman"/>
          <w:b/>
          <w:spacing w:val="2"/>
          <w:sz w:val="26"/>
          <w:szCs w:val="26"/>
          <w:u w:val="single"/>
        </w:rPr>
        <w:t>LÀM CÔNG TÁC VIÊN CÁC NƠI</w:t>
      </w:r>
      <w:r w:rsidR="00005030" w:rsidRPr="00C41DEB">
        <w:rPr>
          <w:rFonts w:ascii="Times New Roman" w:hAnsi="Times New Roman" w:cs="Times New Roman"/>
          <w:b/>
          <w:spacing w:val="2"/>
          <w:sz w:val="26"/>
          <w:szCs w:val="26"/>
          <w:u w:val="single"/>
        </w:rPr>
        <w:t>, CÓ ĐƯỢC ĐĂNG KÝ GIẢM TRỪ GIA CẢNH KHÔNG</w:t>
      </w:r>
    </w:p>
    <w:p w:rsidR="00005030" w:rsidRPr="00C41DEB" w:rsidRDefault="00005030" w:rsidP="00005030">
      <w:pPr>
        <w:pStyle w:val="ListParagraph"/>
        <w:widowControl w:val="0"/>
        <w:spacing w:after="120"/>
        <w:ind w:left="1080"/>
        <w:rPr>
          <w:rFonts w:ascii="Times New Roman" w:hAnsi="Times New Roman" w:cs="Times New Roman"/>
          <w:spacing w:val="2"/>
          <w:sz w:val="26"/>
          <w:szCs w:val="26"/>
        </w:rPr>
      </w:pPr>
    </w:p>
    <w:p w:rsidR="00005030" w:rsidRPr="00C41DEB" w:rsidRDefault="00005030" w:rsidP="00AF5028">
      <w:pPr>
        <w:widowControl w:val="0"/>
        <w:spacing w:after="120"/>
        <w:rPr>
          <w:rFonts w:ascii="Times New Roman" w:hAnsi="Times New Roman" w:cs="Times New Roman"/>
          <w:spacing w:val="2"/>
          <w:sz w:val="26"/>
          <w:szCs w:val="26"/>
        </w:rPr>
      </w:pPr>
      <w:r w:rsidRPr="00C41DEB">
        <w:rPr>
          <w:rFonts w:ascii="Times New Roman" w:hAnsi="Times New Roman" w:cs="Times New Roman"/>
          <w:spacing w:val="2"/>
          <w:sz w:val="26"/>
          <w:szCs w:val="26"/>
        </w:rPr>
        <w:t>Do bạ</w:t>
      </w:r>
      <w:r w:rsidR="00D42DFE" w:rsidRPr="00C41DEB">
        <w:rPr>
          <w:rFonts w:ascii="Times New Roman" w:hAnsi="Times New Roman" w:cs="Times New Roman"/>
          <w:spacing w:val="2"/>
          <w:sz w:val="26"/>
          <w:szCs w:val="26"/>
        </w:rPr>
        <w:t>n làm cộng tác viên nhiều nơi</w:t>
      </w:r>
      <w:r w:rsidRPr="00C41DEB">
        <w:rPr>
          <w:rFonts w:ascii="Times New Roman" w:hAnsi="Times New Roman" w:cs="Times New Roman"/>
          <w:spacing w:val="2"/>
          <w:sz w:val="26"/>
          <w:szCs w:val="26"/>
        </w:rPr>
        <w:t>, không phải trường hợp được ký hợp đồng lao động từ 03 tháng trở lên tạ</w:t>
      </w:r>
      <w:r w:rsidR="00D42DFE" w:rsidRPr="00C41DEB">
        <w:rPr>
          <w:rFonts w:ascii="Times New Roman" w:hAnsi="Times New Roman" w:cs="Times New Roman"/>
          <w:spacing w:val="2"/>
          <w:sz w:val="26"/>
          <w:szCs w:val="26"/>
        </w:rPr>
        <w:t>i các tổ chức</w:t>
      </w:r>
      <w:r w:rsidRPr="00C41DEB">
        <w:rPr>
          <w:rFonts w:ascii="Times New Roman" w:hAnsi="Times New Roman" w:cs="Times New Roman"/>
          <w:spacing w:val="2"/>
          <w:sz w:val="26"/>
          <w:szCs w:val="26"/>
        </w:rPr>
        <w:t>, nghĩa là Bạn được tư do lao động ở nhiều nơi và có khả năng phát sinh thu nhập ở nhiều nơi. Căn cứ TT 111/2013/TT-B</w:t>
      </w:r>
      <w:r w:rsidR="00D42DFE" w:rsidRPr="00C41DEB">
        <w:rPr>
          <w:rFonts w:ascii="Times New Roman" w:hAnsi="Times New Roman" w:cs="Times New Roman"/>
          <w:spacing w:val="2"/>
          <w:sz w:val="26"/>
          <w:szCs w:val="26"/>
        </w:rPr>
        <w:t>TC; TT 92/2015/TT-BTC, các tổ chức này</w:t>
      </w:r>
      <w:r w:rsidRPr="00C41DEB">
        <w:rPr>
          <w:rFonts w:ascii="Times New Roman" w:hAnsi="Times New Roman" w:cs="Times New Roman"/>
          <w:spacing w:val="2"/>
          <w:sz w:val="26"/>
          <w:szCs w:val="26"/>
        </w:rPr>
        <w:t xml:space="preserve"> có trách nhiệm TẠM khấu trừ thuế TNCN 10% khi chi trả thu nhập từ 2 triệu đồng/lần thanh toán khi chi trả cho bạn.</w:t>
      </w:r>
    </w:p>
    <w:p w:rsidR="00005030" w:rsidRPr="00C41DEB" w:rsidRDefault="00005030" w:rsidP="00AF5028">
      <w:pPr>
        <w:widowControl w:val="0"/>
        <w:spacing w:after="120"/>
        <w:rPr>
          <w:rFonts w:ascii="Times New Roman" w:hAnsi="Times New Roman" w:cs="Times New Roman"/>
          <w:sz w:val="26"/>
          <w:szCs w:val="26"/>
          <w:shd w:val="clear" w:color="auto" w:fill="FFFFFF"/>
        </w:rPr>
      </w:pPr>
      <w:r w:rsidRPr="00C41DEB">
        <w:rPr>
          <w:rFonts w:ascii="Times New Roman" w:hAnsi="Times New Roman" w:cs="Times New Roman"/>
          <w:b/>
          <w:sz w:val="26"/>
          <w:szCs w:val="26"/>
          <w:shd w:val="clear" w:color="auto" w:fill="FFFFFF"/>
        </w:rPr>
        <w:t>Điểm c, Khoản 2, Điều 16 </w:t>
      </w:r>
      <w:hyperlink r:id="rId8" w:tgtFrame="_blank" w:history="1">
        <w:r w:rsidRPr="00C41DEB">
          <w:rPr>
            <w:rStyle w:val="Hyperlink"/>
            <w:rFonts w:ascii="Times New Roman" w:hAnsi="Times New Roman" w:cs="Times New Roman"/>
            <w:b/>
            <w:color w:val="auto"/>
            <w:sz w:val="26"/>
            <w:szCs w:val="26"/>
            <w:bdr w:val="none" w:sz="0" w:space="0" w:color="auto" w:frame="1"/>
            <w:shd w:val="clear" w:color="auto" w:fill="FFFFFF"/>
          </w:rPr>
          <w:t>Thông tư 156/2013/TT-BTC</w:t>
        </w:r>
      </w:hyperlink>
      <w:r w:rsidRPr="00C41DEB">
        <w:rPr>
          <w:rFonts w:ascii="Times New Roman" w:hAnsi="Times New Roman" w:cs="Times New Roman"/>
          <w:b/>
          <w:sz w:val="26"/>
          <w:szCs w:val="26"/>
          <w:shd w:val="clear" w:color="auto" w:fill="FFFFFF"/>
        </w:rPr>
        <w:t> như sau:</w:t>
      </w:r>
      <w:r w:rsidRPr="00C41DEB">
        <w:rPr>
          <w:rFonts w:ascii="Times New Roman" w:hAnsi="Times New Roman" w:cs="Times New Roman"/>
          <w:b/>
          <w:sz w:val="26"/>
          <w:szCs w:val="26"/>
        </w:rPr>
        <w:br/>
      </w:r>
      <w:r w:rsidRPr="00C41DEB">
        <w:rPr>
          <w:rFonts w:ascii="Times New Roman" w:hAnsi="Times New Roman" w:cs="Times New Roman"/>
          <w:sz w:val="26"/>
          <w:szCs w:val="26"/>
          <w:shd w:val="clear" w:color="auto" w:fill="FFFFFF"/>
        </w:rPr>
        <w:t>+ Cá nhân đã tính giảm trừ gia cảnh cho bản thân tại tổ chức, cá nhân trả thu nhập nào thì nộp hồ sơ quyết toán thuế tại cơ quan thuế trực tiếp quản lý tổ chức, cá nhân trả thu nhập đó.</w:t>
      </w:r>
      <w:r w:rsidRPr="00C41DEB">
        <w:rPr>
          <w:rFonts w:ascii="Times New Roman" w:hAnsi="Times New Roman" w:cs="Times New Roman"/>
          <w:sz w:val="26"/>
          <w:szCs w:val="26"/>
        </w:rPr>
        <w:br/>
      </w:r>
      <w:r w:rsidRPr="00C41DEB">
        <w:rPr>
          <w:rFonts w:ascii="Times New Roman" w:hAnsi="Times New Roman" w:cs="Times New Roman"/>
          <w:sz w:val="26"/>
          <w:szCs w:val="26"/>
          <w:shd w:val="clear" w:color="auto" w:fill="FFFFFF"/>
        </w:rPr>
        <w:t>+ Nếu cá nhân chưa tính giảm trừ gia cảnh cho bản thân ở bất cứ tổ chức, cá nhân trả thu nhập nào thì nộp hồ sơ quyết toán thuế tại Chi cục Thuế nơi cá nhân cư trú.</w:t>
      </w:r>
    </w:p>
    <w:p w:rsidR="00B311C6" w:rsidRPr="00C41DEB" w:rsidRDefault="00B311C6" w:rsidP="00AF5028">
      <w:pPr>
        <w:widowControl w:val="0"/>
        <w:spacing w:after="120"/>
        <w:rPr>
          <w:rFonts w:ascii="Times New Roman" w:hAnsi="Times New Roman" w:cs="Times New Roman"/>
          <w:sz w:val="26"/>
          <w:szCs w:val="26"/>
        </w:rPr>
      </w:pPr>
      <w:r w:rsidRPr="00C41DEB">
        <w:rPr>
          <w:rFonts w:ascii="Times New Roman" w:hAnsi="Times New Roman" w:cs="Times New Roman"/>
          <w:b/>
          <w:sz w:val="26"/>
          <w:szCs w:val="26"/>
          <w:shd w:val="clear" w:color="auto" w:fill="FFFFFF"/>
        </w:rPr>
        <w:t>Căn cứ</w:t>
      </w:r>
      <w:r w:rsidRPr="00C41DEB">
        <w:rPr>
          <w:rFonts w:ascii="Times New Roman" w:hAnsi="Times New Roman" w:cs="Times New Roman"/>
          <w:sz w:val="26"/>
          <w:szCs w:val="26"/>
        </w:rPr>
        <w:t xml:space="preserve"> Mẫu biểu số 02/QTT-TNCN - Thông tư 92/2015/TT-BTC sửa đổi bổ sung thông tư 111/2013/TT-BTC. Với mẫu biểu này, Bộ tài chính đã có hướng dẫn rất chi tiết đối với việc Quyết toán thuế TNCN đối với các cá nhân có nhiều nguồn thu nhập khác nhau và tự quyết toán thuế TNCN với cơ quan thuế, trong cả trường hợp CHƯA ĐƯỢC GIẢM TRỪ GIA CẢNH VÀ BẢN THÂN Ở ĐÂU. Theo Hướng dẫ</w:t>
      </w:r>
      <w:r w:rsidR="00622D73" w:rsidRPr="00C41DEB">
        <w:rPr>
          <w:rFonts w:ascii="Times New Roman" w:hAnsi="Times New Roman" w:cs="Times New Roman"/>
          <w:sz w:val="26"/>
          <w:szCs w:val="26"/>
        </w:rPr>
        <w:t>n này,</w:t>
      </w:r>
      <w:r w:rsidRPr="00C41DEB">
        <w:rPr>
          <w:rFonts w:ascii="Times New Roman" w:hAnsi="Times New Roman" w:cs="Times New Roman"/>
          <w:sz w:val="26"/>
          <w:szCs w:val="26"/>
        </w:rPr>
        <w:t xml:space="preserve"> các nguồn thu nhập kh</w:t>
      </w:r>
      <w:bookmarkStart w:id="0" w:name="_GoBack"/>
      <w:bookmarkEnd w:id="0"/>
      <w:r w:rsidRPr="00C41DEB">
        <w:rPr>
          <w:rFonts w:ascii="Times New Roman" w:hAnsi="Times New Roman" w:cs="Times New Roman"/>
          <w:sz w:val="26"/>
          <w:szCs w:val="26"/>
        </w:rPr>
        <w:t>ác nhau từ tiền lương, tiền công &amp; hoạt động kinh doanh trong kỳ phải được cộng với nhau, thành 01 tổng và được áp dụng 01 lần Biểu tính thuế TNCN lũy tiến từng phần sau đi đã trừ các khoản được miễn, giảm theo quy định.</w:t>
      </w:r>
    </w:p>
    <w:p w:rsidR="00B311C6" w:rsidRPr="00C41DEB" w:rsidRDefault="00C4290D" w:rsidP="00AF5028">
      <w:pPr>
        <w:widowControl w:val="0"/>
        <w:spacing w:after="120"/>
        <w:rPr>
          <w:rFonts w:ascii="Times New Roman" w:hAnsi="Times New Roman" w:cs="Times New Roman"/>
          <w:b/>
          <w:sz w:val="26"/>
          <w:szCs w:val="26"/>
          <w:shd w:val="clear" w:color="auto" w:fill="FFFFFF"/>
        </w:rPr>
      </w:pPr>
      <w:r w:rsidRPr="00C41DEB">
        <w:rPr>
          <w:rFonts w:ascii="Times New Roman" w:hAnsi="Times New Roman" w:cs="Times New Roman"/>
          <w:b/>
          <w:sz w:val="26"/>
          <w:szCs w:val="26"/>
          <w:shd w:val="clear" w:color="auto" w:fill="FFFFFF"/>
        </w:rPr>
        <w:t>KẾT LUẬ</w:t>
      </w:r>
      <w:r w:rsidR="00D42DFE" w:rsidRPr="00C41DEB">
        <w:rPr>
          <w:rFonts w:ascii="Times New Roman" w:hAnsi="Times New Roman" w:cs="Times New Roman"/>
          <w:b/>
          <w:sz w:val="26"/>
          <w:szCs w:val="26"/>
          <w:shd w:val="clear" w:color="auto" w:fill="FFFFFF"/>
        </w:rPr>
        <w:t>N</w:t>
      </w:r>
      <w:r w:rsidRPr="00C41DEB">
        <w:rPr>
          <w:rFonts w:ascii="Times New Roman" w:hAnsi="Times New Roman" w:cs="Times New Roman"/>
          <w:b/>
          <w:sz w:val="26"/>
          <w:szCs w:val="26"/>
          <w:shd w:val="clear" w:color="auto" w:fill="FFFFFF"/>
        </w:rPr>
        <w:t>: Như vậy,</w:t>
      </w:r>
      <w:r w:rsidR="00B311C6" w:rsidRPr="00C41DEB">
        <w:rPr>
          <w:rFonts w:ascii="Times New Roman" w:hAnsi="Times New Roman" w:cs="Times New Roman"/>
          <w:b/>
          <w:sz w:val="26"/>
          <w:szCs w:val="26"/>
          <w:shd w:val="clear" w:color="auto" w:fill="FFFFFF"/>
        </w:rPr>
        <w:t xml:space="preserve"> tuy bạn chưa được giảm trừ bản thân, gia cảnh trong năm nhưng chắc chắn bạn sẽ được cơ quan thuế tính giảm trừ đẩy đủ các nội dung này khi bạn quyết toán thuế trực tiếp tại cơ quan thuế, bạn nhé!</w:t>
      </w:r>
    </w:p>
    <w:p w:rsidR="00B311C6" w:rsidRPr="00C41DEB" w:rsidRDefault="00AF5028" w:rsidP="00AF5028">
      <w:pPr>
        <w:widowControl w:val="0"/>
        <w:spacing w:after="120"/>
        <w:rPr>
          <w:rFonts w:ascii="Times New Roman" w:hAnsi="Times New Roman" w:cs="Times New Roman"/>
          <w:b/>
          <w:spacing w:val="2"/>
          <w:sz w:val="26"/>
          <w:szCs w:val="26"/>
          <w:u w:val="single"/>
        </w:rPr>
      </w:pPr>
      <w:r w:rsidRPr="00C41DEB">
        <w:rPr>
          <w:rFonts w:ascii="Times New Roman" w:hAnsi="Times New Roman" w:cs="Times New Roman"/>
          <w:b/>
          <w:spacing w:val="2"/>
          <w:sz w:val="26"/>
          <w:szCs w:val="26"/>
          <w:u w:val="single"/>
        </w:rPr>
        <w:t>V. HỒ SƠ CÁ NHÂN TỰ QUYẾT TOÁN TRỰC TIẾP VỚI CƠ QUAN THUẾ</w:t>
      </w:r>
    </w:p>
    <w:p w:rsidR="00AF5028" w:rsidRPr="00C41DEB" w:rsidRDefault="00AF5028" w:rsidP="00AF5028">
      <w:pPr>
        <w:shd w:val="clear" w:color="auto" w:fill="FFFFFF"/>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 xml:space="preserve">Hồ sơ khai quyết toán thuế quy định ở b2 khoản 3 điều 21 Thông </w:t>
      </w:r>
      <w:proofErr w:type="gramStart"/>
      <w:r w:rsidRPr="00C41DEB">
        <w:rPr>
          <w:rFonts w:ascii="Times New Roman" w:eastAsia="Times New Roman" w:hAnsi="Times New Roman" w:cs="Times New Roman"/>
          <w:sz w:val="26"/>
          <w:szCs w:val="26"/>
          <w:bdr w:val="none" w:sz="0" w:space="0" w:color="auto" w:frame="1"/>
        </w:rPr>
        <w:t>tư </w:t>
      </w:r>
      <w:r w:rsidRPr="00C41DEB">
        <w:rPr>
          <w:rFonts w:ascii="Times New Roman" w:eastAsia="Times New Roman" w:hAnsi="Times New Roman" w:cs="Times New Roman"/>
          <w:i/>
          <w:iCs/>
          <w:sz w:val="26"/>
          <w:szCs w:val="26"/>
          <w:bdr w:val="none" w:sz="0" w:space="0" w:color="auto" w:frame="1"/>
        </w:rPr>
        <w:t> </w:t>
      </w:r>
      <w:r w:rsidRPr="00C41DEB">
        <w:rPr>
          <w:rFonts w:ascii="Times New Roman" w:eastAsia="Times New Roman" w:hAnsi="Times New Roman" w:cs="Times New Roman"/>
          <w:sz w:val="26"/>
          <w:szCs w:val="26"/>
          <w:bdr w:val="none" w:sz="0" w:space="0" w:color="auto" w:frame="1"/>
        </w:rPr>
        <w:t>92</w:t>
      </w:r>
      <w:proofErr w:type="gramEnd"/>
      <w:r w:rsidRPr="00C41DEB">
        <w:rPr>
          <w:rFonts w:ascii="Times New Roman" w:eastAsia="Times New Roman" w:hAnsi="Times New Roman" w:cs="Times New Roman"/>
          <w:sz w:val="26"/>
          <w:szCs w:val="26"/>
          <w:bdr w:val="none" w:sz="0" w:space="0" w:color="auto" w:frame="1"/>
        </w:rPr>
        <w:t>/2015/TT-BTC như sau: </w:t>
      </w:r>
    </w:p>
    <w:p w:rsidR="00AF5028" w:rsidRPr="00C41DEB" w:rsidRDefault="00AF5028" w:rsidP="00AF5028">
      <w:pPr>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lastRenderedPageBreak/>
        <w:t>b.2.1) Cá nhân có thu nhập từ tiền lương, tiền công không thuộc trường hợp được ủy quyền cho tổ chức, cá nhân trả thu nhập quyết toán thuế thay thì khai quyết toán thuế trực tiếp với cơ quan thuế theo mẫu sau:</w:t>
      </w:r>
    </w:p>
    <w:p w:rsidR="00AF5028" w:rsidRPr="00C41DEB" w:rsidRDefault="00AF5028" w:rsidP="00AF5028">
      <w:pPr>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 Tờ khai quyết toán thuế mẫu số 02/QTT-TNCN ban hành kèm theo Thông tư số 92/2015/TT-BTC.</w:t>
      </w:r>
    </w:p>
    <w:p w:rsidR="00AF5028" w:rsidRPr="00C41DEB" w:rsidRDefault="00AF5028" w:rsidP="00AF5028">
      <w:pPr>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 Phụ lục mẫu số 02-1/BK-QTT-TNCN ban hành kèm theo Thông tư số 92/2015/TT-BTC nếu có đăng ký giảm trừ gia cảnh cho người phụ thuộc.</w:t>
      </w:r>
    </w:p>
    <w:p w:rsidR="00AF5028" w:rsidRPr="00C41DEB" w:rsidRDefault="00AF5028" w:rsidP="00AF5028">
      <w:pPr>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 Bản chụp các chứng từ chứng minh số thuế đã khấu trừ, đã tạm nộp trong năm, số thuế đã nộp ở nước ngoài (nếu có). Cá nhân cam kết chịu trách nhiệm về tính chính xác của các thông tin trên bản chụp đó. Trường hợp tổ chức trả thu nhập không cấp chứng từ khấu trừ thuế cho cá nhân do tổ chức trả thu nhập đã chấm dứt hoạt động thì cơ quan thuế căn cứ cơ sở dữ liệu của ngành thuế để xem xét xử lý hồ sơ quyết toán thuế cho cá nhân mà không bắt buộc phải có chứng từ khấu trừ thuế.</w:t>
      </w:r>
    </w:p>
    <w:p w:rsidR="00AF5028" w:rsidRPr="00C41DEB" w:rsidRDefault="00AF5028" w:rsidP="00AF5028">
      <w:pPr>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Trường hợp, theo quy định của luật pháp nước ngoài, cơ quan thuế nước ngoài không cấp giấy xác nhận số thuế đã nộp, người nộp thuế có thể nộp bản chụp Giấy chứng nhận khấu trừ thuế (ghi rõ đã nộp thuế theo tờ khai thuế thu nhập nào) do cơ quan trả thu nhập cấp hoặc bản chụp chứng từ ngân hàng đối với số thuế đã nộp ở nước ngoài có xác nhận của người nộp thuế.</w:t>
      </w:r>
    </w:p>
    <w:p w:rsidR="00AF5028" w:rsidRPr="00C41DEB" w:rsidRDefault="00AF5028" w:rsidP="00AF5028">
      <w:pPr>
        <w:spacing w:after="0"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 Bản chụp các hóa đơn chứng từ chứng minh khoản đóng góp vào quỹ từ thiện, quỹ nhân đạo, quỹ khuyến học (nếu có).</w:t>
      </w:r>
    </w:p>
    <w:p w:rsidR="00AF5028" w:rsidRPr="00C41DEB" w:rsidRDefault="00AF5028" w:rsidP="00AF5028">
      <w:pPr>
        <w:spacing w:line="375" w:lineRule="atLeast"/>
        <w:jc w:val="both"/>
        <w:textAlignment w:val="baseline"/>
        <w:rPr>
          <w:rFonts w:ascii="Times New Roman" w:eastAsia="Times New Roman" w:hAnsi="Times New Roman" w:cs="Times New Roman"/>
          <w:sz w:val="26"/>
          <w:szCs w:val="26"/>
          <w:bdr w:val="none" w:sz="0" w:space="0" w:color="auto" w:frame="1"/>
        </w:rPr>
      </w:pPr>
      <w:r w:rsidRPr="00C41DEB">
        <w:rPr>
          <w:rFonts w:ascii="Times New Roman" w:eastAsia="Times New Roman" w:hAnsi="Times New Roman" w:cs="Times New Roman"/>
          <w:sz w:val="26"/>
          <w:szCs w:val="26"/>
          <w:bdr w:val="none" w:sz="0" w:space="0" w:color="auto" w:frame="1"/>
        </w:rPr>
        <w:t>- Trường hợp cá nhân nhận thu nhập từ các tổ chức Quốc tế, Đại sứ quán, Lãnh sự quán và nhận thu nhập từ nước ngoài phải có tài liệu chứng minh về số tiền đã trả của đơn vị, tổ chức trả thu nhập ở nước ngoài.</w:t>
      </w:r>
    </w:p>
    <w:p w:rsidR="00D42DFE" w:rsidRPr="00C41DEB" w:rsidRDefault="00D42DFE" w:rsidP="00D42DFE">
      <w:pPr>
        <w:widowControl w:val="0"/>
        <w:spacing w:after="120"/>
        <w:rPr>
          <w:rFonts w:ascii="Times New Roman" w:hAnsi="Times New Roman" w:cs="Times New Roman"/>
          <w:b/>
          <w:sz w:val="26"/>
          <w:szCs w:val="26"/>
          <w:shd w:val="clear" w:color="auto" w:fill="FFFFFF"/>
        </w:rPr>
      </w:pPr>
    </w:p>
    <w:p w:rsidR="00F47554" w:rsidRPr="004A7F5E" w:rsidRDefault="00D42DFE" w:rsidP="004A7F5E">
      <w:pPr>
        <w:widowControl w:val="0"/>
        <w:spacing w:after="120"/>
        <w:rPr>
          <w:rFonts w:ascii="Times New Roman" w:hAnsi="Times New Roman" w:cs="Times New Roman"/>
          <w:b/>
          <w:sz w:val="26"/>
          <w:szCs w:val="26"/>
          <w:shd w:val="clear" w:color="auto" w:fill="FFFFFF"/>
        </w:rPr>
      </w:pPr>
      <w:r w:rsidRPr="00C41DEB">
        <w:rPr>
          <w:rFonts w:ascii="Times New Roman" w:hAnsi="Times New Roman" w:cs="Times New Roman"/>
          <w:b/>
          <w:sz w:val="26"/>
          <w:szCs w:val="26"/>
          <w:shd w:val="clear" w:color="auto" w:fill="FFFFFF"/>
        </w:rPr>
        <w:t>Trên đây là một số chia sẻ chân thành của tôi. Chúc bạn chưa quyết toán thuế TNCN các năm cũ thực hiện thành công công việc hoàn được thuế TNCN bằng tiền cho mình và quyết toán tốt thuế TNCN của bản thân năm 2019 nhé!</w:t>
      </w:r>
    </w:p>
    <w:sectPr w:rsidR="00F47554" w:rsidRPr="004A7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76ACB"/>
    <w:multiLevelType w:val="multilevel"/>
    <w:tmpl w:val="7D7A4EDC"/>
    <w:lvl w:ilvl="0">
      <w:start w:val="1"/>
      <w:numFmt w:val="decimal"/>
      <w:lvlText w:val="%1."/>
      <w:lvlJc w:val="left"/>
      <w:pPr>
        <w:ind w:left="720" w:hanging="360"/>
      </w:pPr>
      <w:rPr>
        <w:rFonts w:ascii="Helvetica" w:hAnsi="Helvetica" w:cs="Helvetica" w:hint="default"/>
        <w:color w:val="1D2129"/>
        <w:sz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BEE46F4"/>
    <w:multiLevelType w:val="hybridMultilevel"/>
    <w:tmpl w:val="0F406220"/>
    <w:lvl w:ilvl="0" w:tplc="646877DE">
      <w:start w:val="1"/>
      <w:numFmt w:val="bullet"/>
      <w:lvlText w:val=""/>
      <w:lvlJc w:val="left"/>
      <w:pPr>
        <w:ind w:left="1080" w:hanging="360"/>
      </w:pPr>
      <w:rPr>
        <w:rFonts w:ascii="Wingdings" w:eastAsiaTheme="minorHAns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B7452D"/>
    <w:multiLevelType w:val="hybridMultilevel"/>
    <w:tmpl w:val="3CF25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F73CF"/>
    <w:multiLevelType w:val="multilevel"/>
    <w:tmpl w:val="48D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339AF"/>
    <w:multiLevelType w:val="hybridMultilevel"/>
    <w:tmpl w:val="B970A1F4"/>
    <w:lvl w:ilvl="0" w:tplc="9B18702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27"/>
    <w:rsid w:val="00005030"/>
    <w:rsid w:val="000A58F3"/>
    <w:rsid w:val="003D3607"/>
    <w:rsid w:val="003E3AF3"/>
    <w:rsid w:val="00404119"/>
    <w:rsid w:val="00413CA4"/>
    <w:rsid w:val="004273C0"/>
    <w:rsid w:val="004A7F5E"/>
    <w:rsid w:val="00530C0A"/>
    <w:rsid w:val="00534E5A"/>
    <w:rsid w:val="005362EB"/>
    <w:rsid w:val="005E6AB8"/>
    <w:rsid w:val="00622D73"/>
    <w:rsid w:val="00723CF2"/>
    <w:rsid w:val="00782DAD"/>
    <w:rsid w:val="00800E72"/>
    <w:rsid w:val="00824F68"/>
    <w:rsid w:val="009637D6"/>
    <w:rsid w:val="00A01052"/>
    <w:rsid w:val="00A7699E"/>
    <w:rsid w:val="00A87427"/>
    <w:rsid w:val="00AE64AF"/>
    <w:rsid w:val="00AF5028"/>
    <w:rsid w:val="00B311C6"/>
    <w:rsid w:val="00B4566E"/>
    <w:rsid w:val="00BC7589"/>
    <w:rsid w:val="00C41B40"/>
    <w:rsid w:val="00C41DEB"/>
    <w:rsid w:val="00C4290D"/>
    <w:rsid w:val="00C87550"/>
    <w:rsid w:val="00D42DFE"/>
    <w:rsid w:val="00E914F6"/>
    <w:rsid w:val="00EC276E"/>
    <w:rsid w:val="00F47554"/>
    <w:rsid w:val="00F5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BE41"/>
  <w15:docId w15:val="{A978D762-B828-4F86-A51B-C97E6359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47554"/>
    <w:pPr>
      <w:keepNext/>
      <w:spacing w:before="240" w:after="60"/>
      <w:jc w:val="both"/>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DAD"/>
    <w:pPr>
      <w:ind w:left="720"/>
      <w:contextualSpacing/>
    </w:pPr>
  </w:style>
  <w:style w:type="character" w:styleId="Hyperlink">
    <w:name w:val="Hyperlink"/>
    <w:basedOn w:val="DefaultParagraphFont"/>
    <w:uiPriority w:val="99"/>
    <w:semiHidden/>
    <w:unhideWhenUsed/>
    <w:rsid w:val="00F47554"/>
    <w:rPr>
      <w:color w:val="0000FF"/>
      <w:u w:val="single"/>
    </w:rPr>
  </w:style>
  <w:style w:type="character" w:customStyle="1" w:styleId="Heading2Char">
    <w:name w:val="Heading 2 Char"/>
    <w:basedOn w:val="DefaultParagraphFont"/>
    <w:link w:val="Heading2"/>
    <w:uiPriority w:val="9"/>
    <w:rsid w:val="00F47554"/>
    <w:rPr>
      <w:rFonts w:ascii="Cambria" w:eastAsia="Times New Roman" w:hAnsi="Cambria" w:cs="Times New Roman"/>
      <w:b/>
      <w:bCs/>
      <w:i/>
      <w:iCs/>
      <w:sz w:val="28"/>
      <w:szCs w:val="28"/>
      <w:lang w:val="x-none" w:eastAsia="x-none"/>
    </w:rPr>
  </w:style>
  <w:style w:type="paragraph" w:styleId="NormalWeb">
    <w:name w:val="Normal (Web)"/>
    <w:basedOn w:val="Normal"/>
    <w:uiPriority w:val="99"/>
    <w:semiHidden/>
    <w:unhideWhenUsed/>
    <w:rsid w:val="004041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5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694495">
      <w:bodyDiv w:val="1"/>
      <w:marLeft w:val="0"/>
      <w:marRight w:val="0"/>
      <w:marTop w:val="0"/>
      <w:marBottom w:val="0"/>
      <w:divBdr>
        <w:top w:val="none" w:sz="0" w:space="0" w:color="auto"/>
        <w:left w:val="none" w:sz="0" w:space="0" w:color="auto"/>
        <w:bottom w:val="none" w:sz="0" w:space="0" w:color="auto"/>
        <w:right w:val="none" w:sz="0" w:space="0" w:color="auto"/>
      </w:divBdr>
      <w:divsChild>
        <w:div w:id="710879888">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664090994">
      <w:bodyDiv w:val="1"/>
      <w:marLeft w:val="0"/>
      <w:marRight w:val="0"/>
      <w:marTop w:val="0"/>
      <w:marBottom w:val="0"/>
      <w:divBdr>
        <w:top w:val="none" w:sz="0" w:space="0" w:color="auto"/>
        <w:left w:val="none" w:sz="0" w:space="0" w:color="auto"/>
        <w:bottom w:val="none" w:sz="0" w:space="0" w:color="auto"/>
        <w:right w:val="none" w:sz="0" w:space="0" w:color="auto"/>
      </w:divBdr>
    </w:div>
    <w:div w:id="1790008800">
      <w:bodyDiv w:val="1"/>
      <w:marLeft w:val="0"/>
      <w:marRight w:val="0"/>
      <w:marTop w:val="0"/>
      <w:marBottom w:val="0"/>
      <w:divBdr>
        <w:top w:val="none" w:sz="0" w:space="0" w:color="auto"/>
        <w:left w:val="none" w:sz="0" w:space="0" w:color="auto"/>
        <w:bottom w:val="none" w:sz="0" w:space="0" w:color="auto"/>
        <w:right w:val="none" w:sz="0" w:space="0" w:color="auto"/>
      </w:divBdr>
      <w:divsChild>
        <w:div w:id="198249396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lythuecongminh.com/diem-moi-thong-tu-1562013tt-btc/" TargetMode="External"/><Relationship Id="rId3" Type="http://schemas.openxmlformats.org/officeDocument/2006/relationships/settings" Target="settings.xml"/><Relationship Id="rId7" Type="http://schemas.openxmlformats.org/officeDocument/2006/relationships/hyperlink" Target="https://luatminhkhue.vn/mau-hop-dong-lao-dong-ban-cap-nhat-moi-nha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kyluat.vn/vb/thong-tu-166-2013-tt-btc-huong-dan-xu-phat-vi-pham-hanh-chinh-thue-3470a.html" TargetMode="External"/><Relationship Id="rId5" Type="http://schemas.openxmlformats.org/officeDocument/2006/relationships/hyperlink" Target="https://dailythuecongminh.com/diem-moi-thong-tu-1562013tt-bt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dcterms:created xsi:type="dcterms:W3CDTF">2019-12-06T13:44:00Z</dcterms:created>
  <dcterms:modified xsi:type="dcterms:W3CDTF">2019-12-13T15:21:00Z</dcterms:modified>
</cp:coreProperties>
</file>