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b/>
          <w:bCs/>
          <w:color w:val="141414"/>
          <w:sz w:val="27"/>
          <w:szCs w:val="27"/>
          <w:shd w:val="clear" w:color="auto" w:fill="FFFFFF"/>
        </w:rPr>
        <w:t>Hạch toán sau thanh tra quyết toán thuế tại doanh nghiệp</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i/>
          <w:iCs/>
          <w:color w:val="141414"/>
          <w:sz w:val="27"/>
          <w:szCs w:val="27"/>
          <w:shd w:val="clear" w:color="auto" w:fill="FFFFFF"/>
        </w:rPr>
        <w:t>– Doanh nghiệp sau thanh tra thuế thường có xảy ra các khoản phạt, và truy thu thuế?</w:t>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i/>
          <w:iCs/>
          <w:color w:val="141414"/>
          <w:sz w:val="27"/>
          <w:szCs w:val="27"/>
          <w:shd w:val="clear" w:color="auto" w:fill="FFFFFF"/>
        </w:rPr>
        <w:t>– Xử lý các khoản phạt và truy thu thuế như thế nào? Hạch toán ra sao?</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Hướng dẫn hạch toán, điều chỉnh sổ sách kế toán các khoản bị phạt, truy thu thuế sau thanh tra quyết toán thuế</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Cách hạch toán các khoản nộp phạt thuế, truy nộp thuế:</w:t>
      </w:r>
      <w:r w:rsidRPr="00AC1469">
        <w:rPr>
          <w:rFonts w:ascii="Times New Roman" w:hAnsi="Times New Roman" w:cs="Times New Roman"/>
          <w:color w:val="141414"/>
          <w:sz w:val="27"/>
          <w:szCs w:val="27"/>
          <w:shd w:val="clear" w:color="auto" w:fill="FFFFFF"/>
        </w:rPr>
        <w:t> </w:t>
      </w:r>
      <w:r w:rsidRPr="00AC1469">
        <w:rPr>
          <w:rFonts w:ascii="Times New Roman" w:hAnsi="Times New Roman" w:cs="Times New Roman"/>
          <w:i/>
          <w:iCs/>
          <w:color w:val="141414"/>
          <w:sz w:val="27"/>
          <w:szCs w:val="27"/>
          <w:shd w:val="clear" w:color="auto" w:fill="FFFFFF"/>
        </w:rPr>
        <w:t>Hạch toán bút toán sau khi thanh tra thuế như thế nào?</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Hạch toán khoản bị phạt, truy thu thuế sau thanh tra quyết toán, thanh tra thuế</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Những lưu ý điều chỉnh số liệu sau khi quy</w:t>
      </w:r>
      <w:bookmarkStart w:id="0" w:name="_GoBack"/>
      <w:bookmarkEnd w:id="0"/>
      <w:r w:rsidRPr="00AC1469">
        <w:rPr>
          <w:rFonts w:ascii="Times New Roman" w:hAnsi="Times New Roman" w:cs="Times New Roman"/>
          <w:i/>
          <w:iCs/>
          <w:color w:val="141414"/>
          <w:sz w:val="27"/>
          <w:szCs w:val="27"/>
          <w:shd w:val="clear" w:color="auto" w:fill="FFFFFF"/>
        </w:rPr>
        <w:t>ết toán thuế</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Kinh nghiệm điều chỉnh số liệu khi quyết toán thuế</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i/>
          <w:iCs/>
          <w:color w:val="141414"/>
          <w:sz w:val="27"/>
          <w:szCs w:val="27"/>
          <w:shd w:val="clear" w:color="auto" w:fill="FFFFFF"/>
        </w:rPr>
        <w:t>– Các khoản bị truy thu thuế, phạt thuế thì kế toán sẽ hạch toán như thế nào?</w:t>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color w:val="141414"/>
          <w:sz w:val="27"/>
          <w:szCs w:val="27"/>
          <w:shd w:val="clear" w:color="auto" w:fill="FFFFFF"/>
        </w:rPr>
        <w:br/>
        <w:t>-- &gt;</w:t>
      </w:r>
      <w:r w:rsidRPr="00AC1469">
        <w:rPr>
          <w:rFonts w:ascii="Times New Roman" w:hAnsi="Times New Roman" w:cs="Times New Roman"/>
          <w:b/>
          <w:bCs/>
          <w:color w:val="141414"/>
          <w:sz w:val="27"/>
          <w:szCs w:val="27"/>
          <w:shd w:val="clear" w:color="auto" w:fill="FFFFFF"/>
        </w:rPr>
        <w:t> Căn cứ biên bản quyết định phần kết luận của thanh tra thuế, quyết toán thuế tại doanh nghiệp để hạch toán xử lý các nghiệp vụ cho phù hợp</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b/>
          <w:bCs/>
          <w:color w:val="141414"/>
          <w:sz w:val="27"/>
          <w:szCs w:val="27"/>
          <w:u w:val="single"/>
          <w:shd w:val="clear" w:color="auto" w:fill="FFFFFF"/>
        </w:rPr>
        <w:t>***Căn cứ:</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 </w:t>
      </w:r>
      <w:r w:rsidRPr="00AC1469">
        <w:rPr>
          <w:rFonts w:ascii="Times New Roman" w:hAnsi="Times New Roman" w:cs="Times New Roman"/>
          <w:i/>
          <w:iCs/>
          <w:color w:val="141414"/>
          <w:sz w:val="27"/>
          <w:szCs w:val="27"/>
          <w:shd w:val="clear" w:color="auto" w:fill="FFFFFF"/>
        </w:rPr>
        <w:t>Thông tư 96/2015/TT-BTC ngày 22/06/2015 Hướng dẫn về thuế TNDN Điều 4. Sửa đổi, bổ sung Điều 6 Thông tư số 78/2014/TT-BTC (đã được sửa đổi, bổ sung tại Khoản 2 Điều 6 Thông tư số 119/2014/TT-BTC và Điều 1 Thông tư số 151/2014/TT-BTC)</w:t>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color w:val="141414"/>
          <w:sz w:val="27"/>
          <w:szCs w:val="27"/>
          <w:shd w:val="clear" w:color="auto" w:fill="FFFFFF"/>
        </w:rPr>
        <w:br/>
        <w:t>– </w:t>
      </w:r>
      <w:r w:rsidRPr="00AC1469">
        <w:rPr>
          <w:rFonts w:ascii="Times New Roman" w:hAnsi="Times New Roman" w:cs="Times New Roman"/>
          <w:i/>
          <w:iCs/>
          <w:color w:val="141414"/>
          <w:sz w:val="27"/>
          <w:szCs w:val="27"/>
          <w:shd w:val="clear" w:color="auto" w:fill="FFFFFF"/>
        </w:rPr>
        <w:t>Điều 15 thông tư Số: 219/2013/TT- BTC Hà Nội, ngày 31/12/2013 Hướng dẫn thi hành Luật Thuế giá trị gia tăng</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 </w:t>
      </w:r>
      <w:r w:rsidRPr="00AC1469">
        <w:rPr>
          <w:rFonts w:ascii="Times New Roman" w:hAnsi="Times New Roman" w:cs="Times New Roman"/>
          <w:i/>
          <w:iCs/>
          <w:color w:val="141414"/>
          <w:sz w:val="27"/>
          <w:szCs w:val="27"/>
          <w:shd w:val="clear" w:color="auto" w:fill="FFFFFF"/>
        </w:rPr>
        <w:t>Thông tư 133/2016/TT-BTC ngày 26/8/2016 thay thế Quyết định 48/2006/QĐ-BTC ngày 14/09/2006 về chế độ kế toán doanh nghiệp vừa và nhỏ</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 </w:t>
      </w:r>
      <w:r w:rsidRPr="00AC1469">
        <w:rPr>
          <w:rFonts w:ascii="Times New Roman" w:hAnsi="Times New Roman" w:cs="Times New Roman"/>
          <w:i/>
          <w:iCs/>
          <w:color w:val="141414"/>
          <w:sz w:val="27"/>
          <w:szCs w:val="27"/>
          <w:shd w:val="clear" w:color="auto" w:fill="FFFFFF"/>
        </w:rPr>
        <w:t>Thông tư 200/2014/TT-BTC ngày 22/12/2014 thay thế cho Quyết định số 15/2006/QĐ-BTC ngày 20/3/2006 của Bộ trưởng Bộ Tài chính hướng dẫn Chế độ kế toán Doanh nghiệp</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lastRenderedPageBreak/>
        <w:br/>
      </w:r>
      <w:r w:rsidRPr="00AC1469">
        <w:rPr>
          <w:rFonts w:ascii="Times New Roman" w:hAnsi="Times New Roman" w:cs="Times New Roman"/>
          <w:b/>
          <w:bCs/>
          <w:color w:val="141414"/>
          <w:sz w:val="27"/>
          <w:szCs w:val="27"/>
          <w:u w:val="single"/>
          <w:shd w:val="clear" w:color="auto" w:fill="FFFFFF"/>
        </w:rPr>
        <w:t>--&gt;Theo đó:</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Đoạn 03 Chuẩn mực kế toán số 29</w:t>
      </w:r>
      <w:r w:rsidRPr="00AC1469">
        <w:rPr>
          <w:rFonts w:ascii="Times New Roman" w:hAnsi="Times New Roman" w:cs="Times New Roman"/>
          <w:color w:val="141414"/>
          <w:sz w:val="27"/>
          <w:szCs w:val="27"/>
          <w:shd w:val="clear" w:color="auto" w:fill="FFFFFF"/>
        </w:rPr>
        <w:t> – Thay đổi chính sách kế toán, ước tính kế toán và các sai sót quy định: “</w:t>
      </w:r>
      <w:r w:rsidRPr="00AC1469">
        <w:rPr>
          <w:rFonts w:ascii="Times New Roman" w:hAnsi="Times New Roman" w:cs="Times New Roman"/>
          <w:i/>
          <w:iCs/>
          <w:color w:val="141414"/>
          <w:sz w:val="27"/>
          <w:szCs w:val="27"/>
          <w:shd w:val="clear" w:color="auto" w:fill="FFFFFF"/>
        </w:rPr>
        <w:t>...Ảnh hưởng về thuế của việc sửa chữa các sai sót kỳ trước và điều chỉnh hồi tố đối với những thay đổi trong chính sách kế toán được kế toán và trình bày phù hợp với Chuẩn mực kế toán số 17 “Thuế thu nhập doanh nghiệp”</w:t>
      </w:r>
      <w:r w:rsidRPr="00AC1469">
        <w:rPr>
          <w:rFonts w:ascii="Times New Roman" w:hAnsi="Times New Roman" w:cs="Times New Roman"/>
          <w:color w:val="141414"/>
          <w:sz w:val="27"/>
          <w:szCs w:val="27"/>
          <w:shd w:val="clear" w:color="auto" w:fill="FFFFFF"/>
        </w:rPr>
        <w:t>”.</w:t>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Điểm b Đoạn 57 Chuẩn mực kế toán số 17</w:t>
      </w:r>
      <w:r w:rsidRPr="00AC1469">
        <w:rPr>
          <w:rFonts w:ascii="Times New Roman" w:hAnsi="Times New Roman" w:cs="Times New Roman"/>
          <w:color w:val="141414"/>
          <w:sz w:val="27"/>
          <w:szCs w:val="27"/>
          <w:shd w:val="clear" w:color="auto" w:fill="FFFFFF"/>
        </w:rPr>
        <w:t> - Thuế thu nhập doanh nghiệp quy định về các thành phần chủ yếu của chi phí (hoặc thu nhập) thuế thu nhập gồm: “</w:t>
      </w:r>
      <w:r w:rsidRPr="00AC1469">
        <w:rPr>
          <w:rFonts w:ascii="Times New Roman" w:hAnsi="Times New Roman" w:cs="Times New Roman"/>
          <w:i/>
          <w:iCs/>
          <w:color w:val="141414"/>
          <w:sz w:val="27"/>
          <w:szCs w:val="27"/>
          <w:shd w:val="clear" w:color="auto" w:fill="FFFFFF"/>
        </w:rPr>
        <w:t>Các điều chỉnh trong năm cho thuế thu nhập hiện hành của các năm trước;</w:t>
      </w:r>
      <w:r w:rsidRPr="00AC1469">
        <w:rPr>
          <w:rFonts w:ascii="Times New Roman" w:hAnsi="Times New Roman" w:cs="Times New Roman"/>
          <w:color w:val="141414"/>
          <w:sz w:val="27"/>
          <w:szCs w:val="27"/>
          <w:shd w:val="clear" w:color="auto" w:fill="FFFFFF"/>
        </w:rPr>
        <w:t>”</w:t>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color w:val="141414"/>
          <w:sz w:val="27"/>
          <w:szCs w:val="27"/>
          <w:shd w:val="clear" w:color="auto" w:fill="FFFFFF"/>
        </w:rPr>
        <w:br/>
      </w:r>
      <w:r w:rsidRPr="00AC1469">
        <w:rPr>
          <w:rFonts w:ascii="Times New Roman" w:hAnsi="Times New Roman" w:cs="Times New Roman"/>
          <w:b/>
          <w:bCs/>
          <w:color w:val="141414"/>
          <w:sz w:val="27"/>
          <w:szCs w:val="27"/>
          <w:u w:val="single"/>
          <w:shd w:val="clear" w:color="auto" w:fill="FFFFFF"/>
        </w:rPr>
        <w:t>--&gt;Như vậy,</w:t>
      </w:r>
      <w:r w:rsidRPr="00AC1469">
        <w:rPr>
          <w:rFonts w:ascii="Times New Roman" w:hAnsi="Times New Roman" w:cs="Times New Roman"/>
          <w:color w:val="141414"/>
          <w:sz w:val="27"/>
          <w:szCs w:val="27"/>
          <w:shd w:val="clear" w:color="auto" w:fill="FFFFFF"/>
        </w:rPr>
        <w:t> trường hợp sau quyết toán thuế, Công ty bị cơ quan Thanh tra thuế ra quyết định xử phạt phải nộp thêm thuế GTGT, thuế TNDN và phạt chậm nộp, công ty thực hiện hạch toán như sau:</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Phản ánh Thuế TNDN phải nộp, ghi:</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Nợ TK 8211 – Chi phí thuế thu nhập doanh nghiệp hiện hành</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TK 3334 - Thuế thu nhập doanh nghiệp</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Khi nộp tiền vào Ngân sách nhà nước, ghi:</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Nợ TK 3334 - Thuế thu nhập doanh nghiệp</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các TK 111, 112</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Phản ánh Thuế GTGT phải nộp bổ sung, ghi:</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Nợ TK 811 – Chi phí khác</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TK 33311 - Thuế GTGT phải nộp</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lastRenderedPageBreak/>
        <w:br/>
        <w:t>–</w:t>
      </w:r>
      <w:r w:rsidRPr="00AC1469">
        <w:rPr>
          <w:rFonts w:ascii="Times New Roman" w:hAnsi="Times New Roman" w:cs="Times New Roman"/>
          <w:b/>
          <w:bCs/>
          <w:color w:val="141414"/>
          <w:sz w:val="27"/>
          <w:szCs w:val="27"/>
          <w:shd w:val="clear" w:color="auto" w:fill="FFFFFF"/>
        </w:rPr>
        <w:t>Khi nộp tiền vào Ngân sách nhà nước, ghi:</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Nợ TK 33311 - Thuế GTGT phải nộp</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các TK 111, 112</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Phản ánh số tiền phạt nộp chậm, ghi:</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Nợ TK 811 – Chi phí khác</w:t>
      </w: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TK 3339 – Phí, lệ phí và các khoản phải nộp khác</w:t>
      </w:r>
    </w:p>
    <w:p w:rsidR="00AC1469" w:rsidRDefault="00AC1469" w:rsidP="00AC1469">
      <w:pPr>
        <w:jc w:val="both"/>
        <w:rPr>
          <w:rFonts w:ascii="Times New Roman" w:hAnsi="Times New Roman" w:cs="Times New Roman"/>
          <w:color w:val="141414"/>
          <w:sz w:val="27"/>
          <w:szCs w:val="27"/>
          <w:shd w:val="clear" w:color="auto" w:fill="FFFFFF"/>
        </w:rPr>
      </w:pPr>
      <w:r w:rsidRPr="00AC1469">
        <w:rPr>
          <w:rFonts w:ascii="Times New Roman" w:hAnsi="Times New Roman" w:cs="Times New Roman"/>
          <w:color w:val="141414"/>
          <w:sz w:val="27"/>
          <w:szCs w:val="27"/>
          <w:shd w:val="clear" w:color="auto" w:fill="FFFFFF"/>
        </w:rPr>
        <w:br/>
        <w:t>–</w:t>
      </w:r>
      <w:r w:rsidRPr="00AC1469">
        <w:rPr>
          <w:rFonts w:ascii="Times New Roman" w:hAnsi="Times New Roman" w:cs="Times New Roman"/>
          <w:b/>
          <w:bCs/>
          <w:color w:val="141414"/>
          <w:sz w:val="27"/>
          <w:szCs w:val="27"/>
          <w:shd w:val="clear" w:color="auto" w:fill="FFFFFF"/>
        </w:rPr>
        <w:t>Khi nộp tiền vào Ngân sách nhà nước, ghi:</w:t>
      </w:r>
    </w:p>
    <w:p w:rsidR="00AC1469" w:rsidRDefault="00AC1469" w:rsidP="00AC1469">
      <w:pPr>
        <w:jc w:val="both"/>
        <w:rPr>
          <w:rFonts w:ascii="Times New Roman" w:hAnsi="Times New Roman" w:cs="Times New Roman"/>
          <w:color w:val="141414"/>
          <w:sz w:val="23"/>
          <w:szCs w:val="23"/>
        </w:rPr>
      </w:pPr>
    </w:p>
    <w:p w:rsidR="00AC1469" w:rsidRDefault="00AC1469" w:rsidP="00AC1469">
      <w:pPr>
        <w:jc w:val="both"/>
        <w:rPr>
          <w:rFonts w:ascii="Times New Roman" w:hAnsi="Times New Roman" w:cs="Times New Roman"/>
          <w:color w:val="141414"/>
          <w:sz w:val="23"/>
          <w:szCs w:val="23"/>
        </w:rPr>
      </w:pPr>
      <w:r w:rsidRPr="00AC1469">
        <w:rPr>
          <w:rFonts w:ascii="Times New Roman" w:hAnsi="Times New Roman" w:cs="Times New Roman"/>
          <w:i/>
          <w:iCs/>
          <w:color w:val="141414"/>
          <w:sz w:val="27"/>
          <w:szCs w:val="27"/>
          <w:shd w:val="clear" w:color="auto" w:fill="FFFFFF"/>
        </w:rPr>
        <w:t>Nợ TK 3339 – Phí, lệ phí và các khoản phải nộp khác</w:t>
      </w:r>
    </w:p>
    <w:p w:rsidR="00547117" w:rsidRPr="00AC1469" w:rsidRDefault="00AC1469" w:rsidP="00AC1469">
      <w:pPr>
        <w:jc w:val="both"/>
        <w:rPr>
          <w:rFonts w:ascii="Times New Roman" w:hAnsi="Times New Roman" w:cs="Times New Roman"/>
        </w:rPr>
      </w:pPr>
      <w:r w:rsidRPr="00AC1469">
        <w:rPr>
          <w:rFonts w:ascii="Times New Roman" w:hAnsi="Times New Roman" w:cs="Times New Roman"/>
          <w:color w:val="141414"/>
          <w:sz w:val="23"/>
          <w:szCs w:val="23"/>
        </w:rPr>
        <w:br/>
      </w:r>
      <w:r w:rsidRPr="00AC1469">
        <w:rPr>
          <w:rFonts w:ascii="Times New Roman" w:hAnsi="Times New Roman" w:cs="Times New Roman"/>
          <w:i/>
          <w:iCs/>
          <w:color w:val="141414"/>
          <w:sz w:val="27"/>
          <w:szCs w:val="27"/>
          <w:shd w:val="clear" w:color="auto" w:fill="FFFFFF"/>
        </w:rPr>
        <w:t>Có các TK 111, 112</w:t>
      </w:r>
    </w:p>
    <w:sectPr w:rsidR="00547117" w:rsidRPr="00AC1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69"/>
    <w:rsid w:val="00547117"/>
    <w:rsid w:val="00AC1469"/>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28E8"/>
  <w15:chartTrackingRefBased/>
  <w15:docId w15:val="{C25DCE07-CB49-4E0F-8D46-C2B04119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2020-03-31T07:49:00Z</dcterms:created>
  <dcterms:modified xsi:type="dcterms:W3CDTF">2020-03-31T07:54:00Z</dcterms:modified>
</cp:coreProperties>
</file>